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3654C6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2E75DB">
        <w:rPr>
          <w:sz w:val="28"/>
          <w:szCs w:val="28"/>
          <w:u w:val="single"/>
        </w:rPr>
        <w:t>17 марта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2E75DB">
        <w:rPr>
          <w:sz w:val="28"/>
          <w:szCs w:val="28"/>
          <w:u w:val="single"/>
        </w:rPr>
        <w:t>3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504F66">
        <w:rPr>
          <w:sz w:val="28"/>
          <w:szCs w:val="28"/>
          <w:u w:val="single"/>
        </w:rPr>
        <w:t>2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42246B">
        <w:rPr>
          <w:b/>
          <w:sz w:val="28"/>
          <w:szCs w:val="28"/>
        </w:rPr>
        <w:t>09 марта</w:t>
      </w:r>
      <w:r w:rsidR="0065129A">
        <w:rPr>
          <w:b/>
          <w:sz w:val="28"/>
          <w:szCs w:val="28"/>
        </w:rPr>
        <w:t xml:space="preserve"> 202</w:t>
      </w:r>
      <w:r w:rsidR="0042246B">
        <w:rPr>
          <w:b/>
          <w:sz w:val="28"/>
          <w:szCs w:val="28"/>
        </w:rPr>
        <w:t>3</w:t>
      </w:r>
      <w:r w:rsidR="0065129A">
        <w:rPr>
          <w:b/>
          <w:sz w:val="28"/>
          <w:szCs w:val="28"/>
        </w:rPr>
        <w:t xml:space="preserve"> года </w:t>
      </w:r>
    </w:p>
    <w:p w:rsidR="003C6C9D" w:rsidRPr="00A02E01" w:rsidRDefault="003B1E6D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3350C" w:rsidRPr="0063350C">
        <w:rPr>
          <w:b/>
          <w:sz w:val="28"/>
          <w:szCs w:val="28"/>
        </w:rPr>
        <w:t>М</w:t>
      </w:r>
      <w:r w:rsidR="00E87B59">
        <w:rPr>
          <w:b/>
          <w:sz w:val="28"/>
          <w:szCs w:val="28"/>
        </w:rPr>
        <w:t>Б</w:t>
      </w:r>
      <w:r w:rsidR="0063350C" w:rsidRPr="0063350C">
        <w:rPr>
          <w:b/>
          <w:sz w:val="28"/>
          <w:szCs w:val="28"/>
        </w:rPr>
        <w:t>ОУ  «</w:t>
      </w:r>
      <w:proofErr w:type="gramStart"/>
      <w:r w:rsidR="00A02E01">
        <w:rPr>
          <w:b/>
          <w:sz w:val="28"/>
          <w:szCs w:val="28"/>
        </w:rPr>
        <w:t>Средняя</w:t>
      </w:r>
      <w:proofErr w:type="gramEnd"/>
      <w:r w:rsidR="00A02E01">
        <w:rPr>
          <w:b/>
          <w:sz w:val="28"/>
          <w:szCs w:val="28"/>
        </w:rPr>
        <w:t xml:space="preserve"> общеобразовательная школа №</w:t>
      </w:r>
      <w:r w:rsidR="00504F66">
        <w:rPr>
          <w:b/>
          <w:sz w:val="28"/>
          <w:szCs w:val="28"/>
        </w:rPr>
        <w:t xml:space="preserve"> 24</w:t>
      </w:r>
      <w:r w:rsidR="00CC23FF" w:rsidRPr="00A02E01">
        <w:rPr>
          <w:b/>
          <w:sz w:val="28"/>
          <w:szCs w:val="28"/>
        </w:rPr>
        <w:t xml:space="preserve">» </w:t>
      </w:r>
      <w:r w:rsidR="00A02E01" w:rsidRPr="00A02E01">
        <w:rPr>
          <w:b/>
          <w:sz w:val="28"/>
          <w:szCs w:val="28"/>
        </w:rPr>
        <w:t>города Альметьевска</w:t>
      </w:r>
      <w:r>
        <w:rPr>
          <w:b/>
          <w:sz w:val="28"/>
          <w:szCs w:val="28"/>
        </w:rPr>
        <w:t>.</w:t>
      </w:r>
      <w:r w:rsidR="00A02E01" w:rsidRPr="00A02E01">
        <w:rPr>
          <w:b/>
          <w:sz w:val="28"/>
          <w:szCs w:val="28"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E87B59" w:rsidRDefault="003C6C9D" w:rsidP="0063350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t xml:space="preserve"> </w:t>
      </w:r>
      <w:proofErr w:type="gramStart"/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504F66">
        <w:rPr>
          <w:color w:val="000000"/>
          <w:sz w:val="28"/>
          <w:szCs w:val="28"/>
        </w:rPr>
        <w:t>1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A02E01">
        <w:rPr>
          <w:color w:val="000000"/>
          <w:sz w:val="28"/>
          <w:szCs w:val="28"/>
        </w:rPr>
        <w:t>3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A02E01">
        <w:rPr>
          <w:sz w:val="28"/>
          <w:szCs w:val="28"/>
        </w:rPr>
        <w:t>10.01.2023</w:t>
      </w:r>
      <w:r w:rsidR="005E4AAB" w:rsidRPr="005E4AAB">
        <w:rPr>
          <w:sz w:val="28"/>
          <w:szCs w:val="28"/>
        </w:rPr>
        <w:t xml:space="preserve">г. № </w:t>
      </w:r>
      <w:r w:rsidR="00A02E01">
        <w:rPr>
          <w:sz w:val="28"/>
          <w:szCs w:val="28"/>
        </w:rPr>
        <w:t>0</w:t>
      </w:r>
      <w:r w:rsidR="00504F66">
        <w:rPr>
          <w:sz w:val="28"/>
          <w:szCs w:val="28"/>
        </w:rPr>
        <w:t>1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63350C">
        <w:rPr>
          <w:sz w:val="28"/>
          <w:szCs w:val="28"/>
        </w:rPr>
        <w:t>«</w:t>
      </w:r>
      <w:r w:rsidR="0063350C" w:rsidRPr="0063350C">
        <w:rPr>
          <w:sz w:val="28"/>
          <w:szCs w:val="28"/>
        </w:rPr>
        <w:t>Проверка эффективности использования муниципального имущества и расходования бюджетных и внебюджетных средств, качества оказания муниципальных услуг в  М</w:t>
      </w:r>
      <w:r w:rsidR="00E87B59">
        <w:rPr>
          <w:sz w:val="28"/>
          <w:szCs w:val="28"/>
        </w:rPr>
        <w:t>Б</w:t>
      </w:r>
      <w:r w:rsidR="0063350C" w:rsidRPr="0063350C">
        <w:rPr>
          <w:sz w:val="28"/>
          <w:szCs w:val="28"/>
        </w:rPr>
        <w:t xml:space="preserve">ОУ  </w:t>
      </w:r>
      <w:r w:rsidR="00E87B59" w:rsidRPr="00E87B59">
        <w:rPr>
          <w:sz w:val="28"/>
          <w:szCs w:val="28"/>
        </w:rPr>
        <w:t>«</w:t>
      </w:r>
      <w:r w:rsidR="00A02E01" w:rsidRPr="00A02E01">
        <w:rPr>
          <w:sz w:val="28"/>
          <w:szCs w:val="28"/>
        </w:rPr>
        <w:t xml:space="preserve">Средняя общеобразовательная школа № </w:t>
      </w:r>
      <w:r w:rsidR="00504F66">
        <w:rPr>
          <w:sz w:val="28"/>
          <w:szCs w:val="28"/>
        </w:rPr>
        <w:t>24</w:t>
      </w:r>
      <w:r w:rsidR="00A02E01" w:rsidRPr="00A02E01">
        <w:rPr>
          <w:sz w:val="28"/>
          <w:szCs w:val="28"/>
        </w:rPr>
        <w:t>» города Альметьевска за период 2020-2022 годы</w:t>
      </w:r>
      <w:r w:rsidR="00A02E01" w:rsidRPr="00A02E01">
        <w:rPr>
          <w:b/>
          <w:sz w:val="28"/>
          <w:szCs w:val="28"/>
        </w:rPr>
        <w:t>»</w:t>
      </w:r>
      <w:r w:rsidRPr="00E87B59">
        <w:rPr>
          <w:sz w:val="28"/>
          <w:szCs w:val="28"/>
        </w:rPr>
        <w:t>.</w:t>
      </w:r>
      <w:proofErr w:type="gramEnd"/>
    </w:p>
    <w:p w:rsidR="0065129A" w:rsidRDefault="00017038" w:rsidP="001537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350C">
        <w:rPr>
          <w:sz w:val="28"/>
          <w:szCs w:val="28"/>
        </w:rPr>
        <w:t xml:space="preserve">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E87B59">
        <w:rPr>
          <w:sz w:val="28"/>
          <w:szCs w:val="28"/>
        </w:rPr>
        <w:t xml:space="preserve">бюджетному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 w:rsidR="00A02E01">
        <w:rPr>
          <w:sz w:val="28"/>
          <w:szCs w:val="28"/>
        </w:rPr>
        <w:t>; правомерности и эффективности осуществления закупок в муниципальных нуждах; правомерности использования внебюджетных средств</w:t>
      </w:r>
      <w:r>
        <w:rPr>
          <w:sz w:val="28"/>
          <w:szCs w:val="28"/>
        </w:rPr>
        <w:t>.</w:t>
      </w:r>
    </w:p>
    <w:p w:rsidR="00577BF9" w:rsidRPr="00A93A03" w:rsidRDefault="00577BF9" w:rsidP="001537AC">
      <w:pPr>
        <w:ind w:right="-1"/>
        <w:jc w:val="both"/>
        <w:rPr>
          <w:sz w:val="28"/>
          <w:szCs w:val="28"/>
        </w:rPr>
      </w:pPr>
    </w:p>
    <w:p w:rsidR="0065129A" w:rsidRDefault="0065129A" w:rsidP="001537AC">
      <w:pPr>
        <w:pStyle w:val="a7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6A60E5" w:rsidRDefault="00B34DAB" w:rsidP="001537AC">
      <w:pPr>
        <w:pStyle w:val="a7"/>
        <w:ind w:left="0" w:right="-1" w:firstLine="709"/>
        <w:jc w:val="both"/>
        <w:rPr>
          <w:sz w:val="28"/>
          <w:szCs w:val="28"/>
        </w:rPr>
      </w:pPr>
      <w:r w:rsidRPr="00F87828">
        <w:rPr>
          <w:sz w:val="28"/>
          <w:szCs w:val="28"/>
        </w:rPr>
        <w:t>Субсидия на содержание Учреждения в 20</w:t>
      </w:r>
      <w:r w:rsidR="00A02E01">
        <w:rPr>
          <w:sz w:val="28"/>
          <w:szCs w:val="28"/>
        </w:rPr>
        <w:t>20</w:t>
      </w:r>
      <w:r w:rsidRPr="00F87828">
        <w:rPr>
          <w:sz w:val="28"/>
          <w:szCs w:val="28"/>
        </w:rPr>
        <w:t>-202</w:t>
      </w:r>
      <w:r w:rsidR="00A02E01">
        <w:rPr>
          <w:sz w:val="28"/>
          <w:szCs w:val="28"/>
        </w:rPr>
        <w:t>2</w:t>
      </w:r>
      <w:r w:rsidRPr="00F87828">
        <w:rPr>
          <w:sz w:val="28"/>
          <w:szCs w:val="28"/>
        </w:rPr>
        <w:t xml:space="preserve"> годах выделялась из местного бюджета в соответствии с муниципальным заданием</w:t>
      </w:r>
      <w:r w:rsidR="00E87B59">
        <w:rPr>
          <w:sz w:val="28"/>
          <w:szCs w:val="28"/>
        </w:rPr>
        <w:t xml:space="preserve">, </w:t>
      </w:r>
      <w:r w:rsidR="00E87B59" w:rsidRPr="00F87828">
        <w:rPr>
          <w:sz w:val="28"/>
          <w:szCs w:val="28"/>
        </w:rPr>
        <w:t>утвержденной Учредителем</w:t>
      </w:r>
      <w:r w:rsidRPr="00F87828">
        <w:rPr>
          <w:sz w:val="28"/>
          <w:szCs w:val="28"/>
        </w:rPr>
        <w:t xml:space="preserve"> и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(далее – Соглашение).</w:t>
      </w:r>
      <w:r w:rsidR="006A60E5">
        <w:rPr>
          <w:sz w:val="28"/>
          <w:szCs w:val="28"/>
        </w:rPr>
        <w:t xml:space="preserve"> На содержание Учреждения из местного бюджета района профинансировано: в 20</w:t>
      </w:r>
      <w:r w:rsidR="00A02E01">
        <w:rPr>
          <w:sz w:val="28"/>
          <w:szCs w:val="28"/>
        </w:rPr>
        <w:t>20</w:t>
      </w:r>
      <w:r w:rsidR="006A60E5">
        <w:rPr>
          <w:sz w:val="28"/>
          <w:szCs w:val="28"/>
        </w:rPr>
        <w:t xml:space="preserve"> году в сумме </w:t>
      </w:r>
      <w:r w:rsidR="00504F66">
        <w:rPr>
          <w:sz w:val="28"/>
          <w:szCs w:val="28"/>
        </w:rPr>
        <w:t xml:space="preserve">65 567,5 </w:t>
      </w:r>
      <w:proofErr w:type="spellStart"/>
      <w:r w:rsidR="006A60E5" w:rsidRPr="006A60E5">
        <w:rPr>
          <w:sz w:val="28"/>
          <w:szCs w:val="28"/>
        </w:rPr>
        <w:t>тыс</w:t>
      </w:r>
      <w:proofErr w:type="gramStart"/>
      <w:r w:rsidR="006A60E5" w:rsidRPr="006A60E5">
        <w:rPr>
          <w:sz w:val="28"/>
          <w:szCs w:val="28"/>
        </w:rPr>
        <w:t>.р</w:t>
      </w:r>
      <w:proofErr w:type="gramEnd"/>
      <w:r w:rsidR="006A60E5" w:rsidRPr="006A60E5">
        <w:rPr>
          <w:sz w:val="28"/>
          <w:szCs w:val="28"/>
        </w:rPr>
        <w:t>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1</w:t>
      </w:r>
      <w:r w:rsidR="006A60E5" w:rsidRPr="006A60E5">
        <w:rPr>
          <w:sz w:val="28"/>
          <w:szCs w:val="28"/>
        </w:rPr>
        <w:t xml:space="preserve"> году –</w:t>
      </w:r>
      <w:r w:rsidR="00504F66">
        <w:rPr>
          <w:sz w:val="28"/>
          <w:szCs w:val="28"/>
        </w:rPr>
        <w:t xml:space="preserve"> 82 309,4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2</w:t>
      </w:r>
      <w:r w:rsidR="006A60E5" w:rsidRPr="006A60E5">
        <w:rPr>
          <w:sz w:val="28"/>
          <w:szCs w:val="28"/>
        </w:rPr>
        <w:t xml:space="preserve"> году – </w:t>
      </w:r>
      <w:r w:rsidR="00504F66">
        <w:rPr>
          <w:sz w:val="28"/>
          <w:szCs w:val="28"/>
        </w:rPr>
        <w:t>87 404,6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</w:t>
      </w:r>
    </w:p>
    <w:p w:rsidR="00616E8E" w:rsidRPr="009461B8" w:rsidRDefault="00E87B59" w:rsidP="00616E8E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C3D2B">
        <w:rPr>
          <w:sz w:val="28"/>
          <w:szCs w:val="28"/>
        </w:rPr>
        <w:t xml:space="preserve">Исполнение </w:t>
      </w:r>
      <w:r w:rsidR="00AF3110" w:rsidRPr="002C3D2B">
        <w:rPr>
          <w:sz w:val="28"/>
          <w:szCs w:val="28"/>
        </w:rPr>
        <w:t>по расходам предусмотренных бюджетных ассигнований составило: за 20</w:t>
      </w:r>
      <w:r w:rsidR="00A02E01" w:rsidRPr="002C3D2B">
        <w:rPr>
          <w:sz w:val="28"/>
          <w:szCs w:val="28"/>
        </w:rPr>
        <w:t>20</w:t>
      </w:r>
      <w:r w:rsidR="00AF3110" w:rsidRPr="002C3D2B">
        <w:rPr>
          <w:sz w:val="28"/>
          <w:szCs w:val="28"/>
        </w:rPr>
        <w:t xml:space="preserve"> год в сумме </w:t>
      </w:r>
      <w:r w:rsidR="00504F66">
        <w:rPr>
          <w:sz w:val="28"/>
          <w:szCs w:val="28"/>
        </w:rPr>
        <w:t>66 334,2</w:t>
      </w:r>
      <w:r w:rsidR="00AF3110" w:rsidRPr="002C3D2B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</w:t>
      </w:r>
      <w:proofErr w:type="gramStart"/>
      <w:r w:rsidR="00AF3110" w:rsidRPr="002C3D2B">
        <w:rPr>
          <w:sz w:val="28"/>
          <w:szCs w:val="28"/>
        </w:rPr>
        <w:t>.р</w:t>
      </w:r>
      <w:proofErr w:type="gramEnd"/>
      <w:r w:rsidR="00AF3110" w:rsidRPr="002C3D2B">
        <w:rPr>
          <w:sz w:val="28"/>
          <w:szCs w:val="28"/>
        </w:rPr>
        <w:t>уб</w:t>
      </w:r>
      <w:proofErr w:type="spellEnd"/>
      <w:r w:rsidR="00AF3110" w:rsidRPr="002C3D2B">
        <w:rPr>
          <w:sz w:val="28"/>
          <w:szCs w:val="28"/>
        </w:rPr>
        <w:t>. (</w:t>
      </w:r>
      <w:r w:rsidR="00504F66">
        <w:rPr>
          <w:sz w:val="28"/>
          <w:szCs w:val="28"/>
        </w:rPr>
        <w:t>95,1</w:t>
      </w:r>
      <w:r w:rsidR="00AF3110" w:rsidRPr="002C3D2B">
        <w:rPr>
          <w:sz w:val="28"/>
          <w:szCs w:val="28"/>
        </w:rPr>
        <w:t>%), в 202</w:t>
      </w:r>
      <w:r w:rsidR="00504F66">
        <w:rPr>
          <w:sz w:val="28"/>
          <w:szCs w:val="28"/>
        </w:rPr>
        <w:t>1</w:t>
      </w:r>
      <w:r w:rsidR="00AF3110" w:rsidRPr="002C3D2B">
        <w:rPr>
          <w:sz w:val="28"/>
          <w:szCs w:val="28"/>
        </w:rPr>
        <w:t xml:space="preserve"> году – </w:t>
      </w:r>
      <w:r w:rsidR="00504F66">
        <w:rPr>
          <w:sz w:val="28"/>
          <w:szCs w:val="28"/>
        </w:rPr>
        <w:t>83 572,7</w:t>
      </w:r>
      <w:r w:rsidR="00AF3110" w:rsidRPr="002C3D2B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504F66">
        <w:rPr>
          <w:sz w:val="28"/>
          <w:szCs w:val="28"/>
        </w:rPr>
        <w:t>95,2</w:t>
      </w:r>
      <w:r w:rsidR="00AF3110" w:rsidRPr="002C3D2B">
        <w:rPr>
          <w:sz w:val="28"/>
          <w:szCs w:val="28"/>
        </w:rPr>
        <w:t>%), в 202</w:t>
      </w:r>
      <w:r w:rsidR="00A02E01" w:rsidRPr="002C3D2B">
        <w:rPr>
          <w:sz w:val="28"/>
          <w:szCs w:val="28"/>
        </w:rPr>
        <w:t>2</w:t>
      </w:r>
      <w:r w:rsidR="00AF3110" w:rsidRPr="002C3D2B">
        <w:rPr>
          <w:sz w:val="28"/>
          <w:szCs w:val="28"/>
        </w:rPr>
        <w:t xml:space="preserve"> году – </w:t>
      </w:r>
      <w:r w:rsidR="00504F66">
        <w:rPr>
          <w:sz w:val="28"/>
          <w:szCs w:val="28"/>
        </w:rPr>
        <w:t xml:space="preserve">92 999,1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504F66">
        <w:rPr>
          <w:sz w:val="28"/>
          <w:szCs w:val="28"/>
        </w:rPr>
        <w:t>86,3</w:t>
      </w:r>
      <w:r w:rsidR="00A02E01" w:rsidRPr="002C3D2B">
        <w:rPr>
          <w:sz w:val="28"/>
          <w:szCs w:val="28"/>
        </w:rPr>
        <w:t>%</w:t>
      </w:r>
      <w:r w:rsidR="00AF3110" w:rsidRPr="002C3D2B">
        <w:rPr>
          <w:sz w:val="28"/>
          <w:szCs w:val="28"/>
        </w:rPr>
        <w:t xml:space="preserve">). Неисполнение плановых назначений </w:t>
      </w:r>
      <w:r w:rsidR="0089677F" w:rsidRPr="002C3D2B">
        <w:rPr>
          <w:sz w:val="28"/>
          <w:szCs w:val="28"/>
        </w:rPr>
        <w:t>в 202</w:t>
      </w:r>
      <w:r w:rsidR="00A02E01" w:rsidRPr="002C3D2B">
        <w:rPr>
          <w:sz w:val="28"/>
          <w:szCs w:val="28"/>
        </w:rPr>
        <w:t>2</w:t>
      </w:r>
      <w:r w:rsidR="0089677F" w:rsidRPr="002C3D2B">
        <w:rPr>
          <w:sz w:val="28"/>
          <w:szCs w:val="28"/>
        </w:rPr>
        <w:t xml:space="preserve"> году в сумме </w:t>
      </w:r>
      <w:r w:rsidR="00504F66">
        <w:rPr>
          <w:sz w:val="28"/>
          <w:szCs w:val="28"/>
        </w:rPr>
        <w:t xml:space="preserve">14 762,0 </w:t>
      </w:r>
      <w:proofErr w:type="spellStart"/>
      <w:r w:rsidR="0089677F" w:rsidRPr="002C3D2B">
        <w:rPr>
          <w:sz w:val="28"/>
          <w:szCs w:val="28"/>
        </w:rPr>
        <w:t>тыс</w:t>
      </w:r>
      <w:proofErr w:type="gramStart"/>
      <w:r w:rsidR="0089677F" w:rsidRPr="002C3D2B">
        <w:rPr>
          <w:sz w:val="28"/>
          <w:szCs w:val="28"/>
        </w:rPr>
        <w:t>.р</w:t>
      </w:r>
      <w:proofErr w:type="gramEnd"/>
      <w:r w:rsidR="0089677F" w:rsidRPr="002C3D2B">
        <w:rPr>
          <w:sz w:val="28"/>
          <w:szCs w:val="28"/>
        </w:rPr>
        <w:t>уб</w:t>
      </w:r>
      <w:proofErr w:type="spellEnd"/>
      <w:r w:rsidR="0089677F" w:rsidRPr="002C3D2B">
        <w:rPr>
          <w:sz w:val="28"/>
          <w:szCs w:val="28"/>
        </w:rPr>
        <w:t xml:space="preserve">. </w:t>
      </w:r>
      <w:r w:rsidR="00AF3110" w:rsidRPr="002C3D2B">
        <w:rPr>
          <w:sz w:val="28"/>
          <w:szCs w:val="28"/>
        </w:rPr>
        <w:t>связано</w:t>
      </w:r>
      <w:r w:rsidR="0089677F" w:rsidRPr="002C3D2B">
        <w:rPr>
          <w:sz w:val="28"/>
          <w:szCs w:val="28"/>
        </w:rPr>
        <w:t xml:space="preserve"> </w:t>
      </w:r>
      <w:r w:rsidR="00AF3110" w:rsidRPr="002C3D2B">
        <w:rPr>
          <w:sz w:val="28"/>
          <w:szCs w:val="28"/>
        </w:rPr>
        <w:t>с наличием вакансий (</w:t>
      </w:r>
      <w:r w:rsidR="009B6FDE">
        <w:rPr>
          <w:sz w:val="28"/>
          <w:szCs w:val="28"/>
        </w:rPr>
        <w:t xml:space="preserve">12,151 </w:t>
      </w:r>
      <w:r w:rsidR="00AF3110" w:rsidRPr="002C3D2B">
        <w:rPr>
          <w:sz w:val="28"/>
          <w:szCs w:val="28"/>
        </w:rPr>
        <w:t>единиц) и нахождением сотрудников на больничном</w:t>
      </w:r>
      <w:r w:rsidR="0089677F" w:rsidRPr="002C3D2B">
        <w:rPr>
          <w:sz w:val="28"/>
          <w:szCs w:val="28"/>
        </w:rPr>
        <w:t>, наличием экономии</w:t>
      </w:r>
      <w:r w:rsidR="00A02E01" w:rsidRPr="002C3D2B">
        <w:rPr>
          <w:sz w:val="28"/>
          <w:szCs w:val="28"/>
        </w:rPr>
        <w:t xml:space="preserve"> по итогам проведенных конкурентных способов закупок</w:t>
      </w:r>
      <w:r w:rsidR="0089677F" w:rsidRPr="002C3D2B">
        <w:rPr>
          <w:sz w:val="28"/>
          <w:szCs w:val="28"/>
        </w:rPr>
        <w:t xml:space="preserve">. </w:t>
      </w:r>
      <w:r w:rsidR="002C3D2B" w:rsidRPr="002C3D2B">
        <w:rPr>
          <w:sz w:val="28"/>
          <w:szCs w:val="28"/>
        </w:rPr>
        <w:t>Н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еисполнение </w:t>
      </w:r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ПХД п</w:t>
      </w:r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о КОСГУ 226 «Прочие работы (услуги)» </w:t>
      </w:r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 сумме </w:t>
      </w:r>
      <w:r w:rsidR="009B6FDE">
        <w:rPr>
          <w:rFonts w:ascii="Times New Roman CYR" w:eastAsia="Calibri" w:hAnsi="Times New Roman CYR" w:cs="Times New Roman CYR"/>
          <w:sz w:val="28"/>
          <w:szCs w:val="28"/>
          <w:lang w:eastAsia="en-US"/>
        </w:rPr>
        <w:t>10 915,5</w:t>
      </w:r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>тыс</w:t>
      </w:r>
      <w:proofErr w:type="gramStart"/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.р</w:t>
      </w:r>
      <w:proofErr w:type="gramEnd"/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уб</w:t>
      </w:r>
      <w:proofErr w:type="spellEnd"/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связано с </w:t>
      </w:r>
      <w:r w:rsidR="009B6FDE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наличием экономии по результатам конкурентных закупок и 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при формировании </w:t>
      </w:r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бюджета 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был запланирован 100%</w:t>
      </w:r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-й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охват питанием учащихся, фактически питанием охвачены </w:t>
      </w:r>
      <w:r w:rsidR="009B6FDE">
        <w:rPr>
          <w:rFonts w:ascii="Times New Roman CYR" w:eastAsia="Calibri" w:hAnsi="Times New Roman CYR" w:cs="Times New Roman CYR"/>
          <w:sz w:val="28"/>
          <w:szCs w:val="28"/>
          <w:lang w:eastAsia="en-US"/>
        </w:rPr>
        <w:t>7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5% учащихся.</w:t>
      </w:r>
    </w:p>
    <w:p w:rsidR="00B34DAB" w:rsidRDefault="006A60E5" w:rsidP="001537AC">
      <w:pPr>
        <w:pStyle w:val="a7"/>
        <w:ind w:left="0" w:right="-1" w:firstLine="709"/>
        <w:jc w:val="both"/>
        <w:rPr>
          <w:rStyle w:val="markedcontent"/>
          <w:b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Наибольший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удельный вес в расходах Учреждения занимают расходы на оплату труда и начисления на выплаты по оплате труда – 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8</w:t>
      </w:r>
      <w:r w:rsidR="009B6FDE">
        <w:rPr>
          <w:rFonts w:ascii="Times New Roman CYR" w:eastAsia="Calibri" w:hAnsi="Times New Roman CYR" w:cs="Times New Roman CYR"/>
          <w:sz w:val="28"/>
          <w:szCs w:val="28"/>
          <w:lang w:eastAsia="en-US"/>
        </w:rPr>
        <w:t>4,1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>% в 20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20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году, </w:t>
      </w:r>
      <w:r w:rsidR="009B6FDE">
        <w:rPr>
          <w:rFonts w:ascii="Times New Roman CYR" w:eastAsia="Calibri" w:hAnsi="Times New Roman CYR" w:cs="Times New Roman CYR"/>
          <w:sz w:val="28"/>
          <w:szCs w:val="28"/>
          <w:lang w:eastAsia="en-US"/>
        </w:rPr>
        <w:t>79,8</w:t>
      </w:r>
      <w:r w:rsidR="00E87B59">
        <w:rPr>
          <w:rFonts w:ascii="Times New Roman CYR" w:eastAsia="Calibri" w:hAnsi="Times New Roman CYR" w:cs="Times New Roman CYR"/>
          <w:sz w:val="28"/>
          <w:szCs w:val="28"/>
          <w:lang w:eastAsia="en-US"/>
        </w:rPr>
        <w:t>%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в 20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1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, </w:t>
      </w:r>
      <w:r w:rsidR="009B6FDE">
        <w:rPr>
          <w:rFonts w:ascii="Times New Roman CYR" w:eastAsia="Calibri" w:hAnsi="Times New Roman CYR" w:cs="Times New Roman CYR"/>
          <w:sz w:val="28"/>
          <w:szCs w:val="28"/>
          <w:lang w:eastAsia="en-US"/>
        </w:rPr>
        <w:t>79,1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% в 202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2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Вторым по значимости являются </w:t>
      </w:r>
      <w:r w:rsidRPr="008A2797">
        <w:rPr>
          <w:rFonts w:eastAsia="Calibri"/>
          <w:sz w:val="28"/>
          <w:szCs w:val="28"/>
          <w:lang w:eastAsia="en-US"/>
        </w:rPr>
        <w:t xml:space="preserve">расходы на оплату коммунальных услуг </w:t>
      </w:r>
      <w:r>
        <w:rPr>
          <w:rFonts w:eastAsia="Calibri"/>
          <w:sz w:val="28"/>
          <w:szCs w:val="28"/>
          <w:lang w:eastAsia="en-US"/>
        </w:rPr>
        <w:t xml:space="preserve">– </w:t>
      </w:r>
      <w:r w:rsidR="009B6FDE">
        <w:rPr>
          <w:rFonts w:eastAsia="Calibri"/>
          <w:sz w:val="28"/>
          <w:szCs w:val="28"/>
          <w:lang w:eastAsia="en-US"/>
        </w:rPr>
        <w:t>4,1</w:t>
      </w:r>
      <w:r>
        <w:rPr>
          <w:rFonts w:eastAsia="Calibri"/>
          <w:sz w:val="28"/>
          <w:szCs w:val="28"/>
          <w:lang w:eastAsia="en-US"/>
        </w:rPr>
        <w:t>% в 20</w:t>
      </w:r>
      <w:r w:rsidR="002C3D2B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 году, </w:t>
      </w:r>
      <w:r w:rsidR="009B6FDE">
        <w:rPr>
          <w:rFonts w:eastAsia="Calibri"/>
          <w:sz w:val="28"/>
          <w:szCs w:val="28"/>
          <w:lang w:eastAsia="en-US"/>
        </w:rPr>
        <w:t>6,1</w:t>
      </w:r>
      <w:r>
        <w:rPr>
          <w:rFonts w:eastAsia="Calibri"/>
          <w:sz w:val="28"/>
          <w:szCs w:val="28"/>
          <w:lang w:eastAsia="en-US"/>
        </w:rPr>
        <w:t>% в 202</w:t>
      </w:r>
      <w:r w:rsidR="002C3D2B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году, </w:t>
      </w:r>
      <w:r w:rsidR="009B6FDE">
        <w:rPr>
          <w:rFonts w:eastAsia="Calibri"/>
          <w:sz w:val="28"/>
          <w:szCs w:val="28"/>
          <w:lang w:eastAsia="en-US"/>
        </w:rPr>
        <w:t>8,3</w:t>
      </w:r>
      <w:r>
        <w:rPr>
          <w:rFonts w:eastAsia="Calibri"/>
          <w:sz w:val="28"/>
          <w:szCs w:val="28"/>
          <w:lang w:eastAsia="en-US"/>
        </w:rPr>
        <w:t>% в 202</w:t>
      </w:r>
      <w:r w:rsidR="002C3D2B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году.</w:t>
      </w:r>
      <w:r w:rsidRPr="006A60E5">
        <w:rPr>
          <w:rStyle w:val="markedcontent"/>
          <w:b/>
        </w:rPr>
        <w:t xml:space="preserve"> </w:t>
      </w:r>
    </w:p>
    <w:p w:rsidR="002C3D2B" w:rsidRPr="00BB1E59" w:rsidRDefault="002C3D2B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завершен с дебиторской задолженностью </w:t>
      </w:r>
      <w:r w:rsidRPr="00BB1E59">
        <w:rPr>
          <w:sz w:val="28"/>
          <w:szCs w:val="28"/>
        </w:rPr>
        <w:t xml:space="preserve">в сумме </w:t>
      </w:r>
      <w:r w:rsidR="009B6FDE">
        <w:rPr>
          <w:sz w:val="28"/>
          <w:szCs w:val="28"/>
        </w:rPr>
        <w:t>37,8</w:t>
      </w:r>
      <w:r w:rsidRPr="00BB1E59">
        <w:rPr>
          <w:sz w:val="28"/>
          <w:szCs w:val="28"/>
        </w:rPr>
        <w:t xml:space="preserve"> </w:t>
      </w:r>
      <w:proofErr w:type="spellStart"/>
      <w:r w:rsidRPr="00BB1E59">
        <w:rPr>
          <w:sz w:val="28"/>
          <w:szCs w:val="28"/>
        </w:rPr>
        <w:t>тыс</w:t>
      </w:r>
      <w:proofErr w:type="gramStart"/>
      <w:r w:rsidRPr="00BB1E59">
        <w:rPr>
          <w:sz w:val="28"/>
          <w:szCs w:val="28"/>
        </w:rPr>
        <w:t>.р</w:t>
      </w:r>
      <w:proofErr w:type="gramEnd"/>
      <w:r w:rsidRPr="00BB1E59">
        <w:rPr>
          <w:sz w:val="28"/>
          <w:szCs w:val="28"/>
        </w:rPr>
        <w:t>уб</w:t>
      </w:r>
      <w:proofErr w:type="spellEnd"/>
      <w:r w:rsidRPr="00BB1E59">
        <w:rPr>
          <w:sz w:val="28"/>
          <w:szCs w:val="28"/>
        </w:rPr>
        <w:t>., в том числе: АО «</w:t>
      </w:r>
      <w:proofErr w:type="spellStart"/>
      <w:r w:rsidRPr="00BB1E59">
        <w:rPr>
          <w:sz w:val="28"/>
          <w:szCs w:val="28"/>
        </w:rPr>
        <w:t>Татэнергосбыт</w:t>
      </w:r>
      <w:proofErr w:type="spellEnd"/>
      <w:r w:rsidRPr="00BB1E59">
        <w:rPr>
          <w:sz w:val="28"/>
          <w:szCs w:val="28"/>
        </w:rPr>
        <w:t xml:space="preserve">» (электроснабжение) – </w:t>
      </w:r>
      <w:r w:rsidR="009B6FDE">
        <w:rPr>
          <w:sz w:val="28"/>
          <w:szCs w:val="28"/>
        </w:rPr>
        <w:t>37,0</w:t>
      </w:r>
      <w:r w:rsidRPr="00BB1E59">
        <w:rPr>
          <w:sz w:val="28"/>
          <w:szCs w:val="28"/>
        </w:rPr>
        <w:t xml:space="preserve"> </w:t>
      </w:r>
      <w:proofErr w:type="spellStart"/>
      <w:r w:rsidRPr="00BB1E59">
        <w:rPr>
          <w:sz w:val="28"/>
          <w:szCs w:val="28"/>
        </w:rPr>
        <w:t>тыс</w:t>
      </w:r>
      <w:proofErr w:type="gramStart"/>
      <w:r w:rsidRPr="00BB1E59">
        <w:rPr>
          <w:sz w:val="28"/>
          <w:szCs w:val="28"/>
        </w:rPr>
        <w:t>.р</w:t>
      </w:r>
      <w:proofErr w:type="gramEnd"/>
      <w:r w:rsidRPr="00BB1E59">
        <w:rPr>
          <w:sz w:val="28"/>
          <w:szCs w:val="28"/>
        </w:rPr>
        <w:t>уб</w:t>
      </w:r>
      <w:proofErr w:type="spellEnd"/>
      <w:r w:rsidRPr="00BB1E59">
        <w:rPr>
          <w:b/>
          <w:sz w:val="28"/>
          <w:szCs w:val="28"/>
        </w:rPr>
        <w:t>.,</w:t>
      </w:r>
      <w:r w:rsidRPr="00BB1E59">
        <w:rPr>
          <w:sz w:val="28"/>
          <w:szCs w:val="28"/>
        </w:rPr>
        <w:t xml:space="preserve"> АО «АТС» (отопление) – 0,</w:t>
      </w:r>
      <w:r w:rsidR="009B6FDE">
        <w:rPr>
          <w:sz w:val="28"/>
          <w:szCs w:val="28"/>
        </w:rPr>
        <w:t xml:space="preserve">8 </w:t>
      </w:r>
      <w:proofErr w:type="spellStart"/>
      <w:r w:rsidR="009B6FDE">
        <w:rPr>
          <w:sz w:val="28"/>
          <w:szCs w:val="28"/>
        </w:rPr>
        <w:t>тыс.руб</w:t>
      </w:r>
      <w:proofErr w:type="spellEnd"/>
      <w:r w:rsidR="009B6FDE">
        <w:rPr>
          <w:sz w:val="28"/>
          <w:szCs w:val="28"/>
        </w:rPr>
        <w:t xml:space="preserve">.; </w:t>
      </w:r>
      <w:r w:rsidRPr="00BB1E59">
        <w:rPr>
          <w:sz w:val="28"/>
          <w:szCs w:val="28"/>
        </w:rPr>
        <w:t xml:space="preserve">кредиторской задолженностью в сумме </w:t>
      </w:r>
      <w:r w:rsidR="009B6FDE">
        <w:rPr>
          <w:sz w:val="28"/>
          <w:szCs w:val="28"/>
        </w:rPr>
        <w:t>4,6</w:t>
      </w:r>
      <w:r>
        <w:rPr>
          <w:sz w:val="28"/>
          <w:szCs w:val="28"/>
        </w:rPr>
        <w:t xml:space="preserve">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sz w:val="28"/>
          <w:szCs w:val="28"/>
        </w:rPr>
        <w:t xml:space="preserve">., в том числе  </w:t>
      </w:r>
      <w:r w:rsidR="009B6FDE">
        <w:rPr>
          <w:sz w:val="28"/>
          <w:szCs w:val="28"/>
        </w:rPr>
        <w:t xml:space="preserve">АО «Альметьевск-Водоканал» </w:t>
      </w:r>
      <w:r w:rsidRPr="00BB1E59">
        <w:rPr>
          <w:sz w:val="28"/>
          <w:szCs w:val="28"/>
        </w:rPr>
        <w:t>- 4,</w:t>
      </w:r>
      <w:r w:rsidR="009B6FDE">
        <w:rPr>
          <w:sz w:val="28"/>
          <w:szCs w:val="28"/>
        </w:rPr>
        <w:t>6</w:t>
      </w:r>
      <w:r w:rsidRPr="00BB1E59">
        <w:rPr>
          <w:sz w:val="28"/>
          <w:szCs w:val="28"/>
        </w:rPr>
        <w:t xml:space="preserve">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sz w:val="28"/>
          <w:szCs w:val="28"/>
        </w:rPr>
        <w:t>.</w:t>
      </w:r>
    </w:p>
    <w:p w:rsidR="002C3D2B" w:rsidRDefault="002C3D2B" w:rsidP="0089677F">
      <w:pPr>
        <w:widowControl w:val="0"/>
        <w:autoSpaceDE w:val="0"/>
        <w:autoSpaceDN w:val="0"/>
        <w:adjustRightInd w:val="0"/>
        <w:ind w:right="-1" w:firstLine="710"/>
        <w:jc w:val="both"/>
        <w:rPr>
          <w:rFonts w:eastAsia="SimSun"/>
          <w:sz w:val="28"/>
          <w:szCs w:val="28"/>
          <w:lang w:eastAsia="zh-CN"/>
        </w:rPr>
      </w:pPr>
      <w:r w:rsidRPr="007D4B49">
        <w:rPr>
          <w:rFonts w:eastAsia="SimSun"/>
          <w:sz w:val="28"/>
          <w:szCs w:val="28"/>
          <w:lang w:eastAsia="zh-CN"/>
        </w:rPr>
        <w:t xml:space="preserve">Балансовая стоимость имущества Учреждения по состоянию на 01.01.2023 г. составила </w:t>
      </w:r>
      <w:r w:rsidR="009B6FDE">
        <w:rPr>
          <w:rFonts w:eastAsia="SimSun"/>
          <w:sz w:val="28"/>
          <w:szCs w:val="28"/>
          <w:lang w:eastAsia="zh-CN"/>
        </w:rPr>
        <w:t>307 565,7</w:t>
      </w:r>
      <w:r w:rsidRPr="007D4B49">
        <w:rPr>
          <w:rFonts w:eastAsia="SimSun"/>
          <w:sz w:val="28"/>
          <w:szCs w:val="28"/>
          <w:lang w:eastAsia="zh-CN"/>
        </w:rPr>
        <w:t xml:space="preserve"> тыс. руб., остаточная стоимость составила </w:t>
      </w:r>
      <w:r w:rsidR="009B6FDE">
        <w:rPr>
          <w:rFonts w:eastAsia="SimSun"/>
          <w:sz w:val="28"/>
          <w:szCs w:val="28"/>
          <w:lang w:eastAsia="zh-CN"/>
        </w:rPr>
        <w:t>160 895,2</w:t>
      </w:r>
      <w:r w:rsidRPr="007D4B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7D4B49">
        <w:rPr>
          <w:rFonts w:eastAsia="SimSun"/>
          <w:sz w:val="28"/>
          <w:szCs w:val="28"/>
          <w:lang w:eastAsia="zh-CN"/>
        </w:rPr>
        <w:t>тыс</w:t>
      </w:r>
      <w:proofErr w:type="gramStart"/>
      <w:r w:rsidRPr="007D4B49">
        <w:rPr>
          <w:rFonts w:eastAsia="SimSun"/>
          <w:sz w:val="28"/>
          <w:szCs w:val="28"/>
          <w:lang w:eastAsia="zh-CN"/>
        </w:rPr>
        <w:t>.р</w:t>
      </w:r>
      <w:proofErr w:type="gramEnd"/>
      <w:r w:rsidRPr="007D4B49">
        <w:rPr>
          <w:rFonts w:eastAsia="SimSun"/>
          <w:sz w:val="28"/>
          <w:szCs w:val="28"/>
          <w:lang w:eastAsia="zh-CN"/>
        </w:rPr>
        <w:t>уб</w:t>
      </w:r>
      <w:proofErr w:type="spellEnd"/>
      <w:r w:rsidRPr="007D4B49">
        <w:rPr>
          <w:rFonts w:eastAsia="SimSun"/>
          <w:sz w:val="28"/>
          <w:szCs w:val="28"/>
          <w:lang w:eastAsia="zh-CN"/>
        </w:rPr>
        <w:t xml:space="preserve">., амортизация имущества составила – </w:t>
      </w:r>
      <w:r w:rsidR="009B6FDE">
        <w:rPr>
          <w:rFonts w:eastAsia="SimSun"/>
          <w:sz w:val="28"/>
          <w:szCs w:val="28"/>
          <w:lang w:eastAsia="zh-CN"/>
        </w:rPr>
        <w:t>146 670,5</w:t>
      </w:r>
      <w:r w:rsidRPr="007D4B49">
        <w:rPr>
          <w:rFonts w:eastAsia="SimSun"/>
          <w:sz w:val="28"/>
          <w:szCs w:val="28"/>
          <w:lang w:eastAsia="zh-CN"/>
        </w:rPr>
        <w:t xml:space="preserve"> тыс. руб. (</w:t>
      </w:r>
      <w:r w:rsidR="009B6FDE">
        <w:rPr>
          <w:rFonts w:eastAsia="SimSun"/>
          <w:sz w:val="28"/>
          <w:szCs w:val="28"/>
          <w:lang w:eastAsia="zh-CN"/>
        </w:rPr>
        <w:t>47,7</w:t>
      </w:r>
      <w:r w:rsidRPr="007D4B49">
        <w:rPr>
          <w:rFonts w:eastAsia="SimSun"/>
          <w:sz w:val="28"/>
          <w:szCs w:val="28"/>
          <w:lang w:eastAsia="zh-CN"/>
        </w:rPr>
        <w:t xml:space="preserve"> %).</w:t>
      </w:r>
    </w:p>
    <w:p w:rsidR="002C3D2B" w:rsidRDefault="002C3D2B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B44BE">
        <w:rPr>
          <w:sz w:val="28"/>
          <w:szCs w:val="28"/>
        </w:rPr>
        <w:t xml:space="preserve">Фактов сдачи муниципального имущества, закрепленного на праве оперативного управления за </w:t>
      </w:r>
      <w:r>
        <w:rPr>
          <w:sz w:val="28"/>
          <w:szCs w:val="28"/>
        </w:rPr>
        <w:t>МБОУ «СОШ №</w:t>
      </w:r>
      <w:r w:rsidR="009B6FDE">
        <w:rPr>
          <w:sz w:val="28"/>
          <w:szCs w:val="28"/>
        </w:rPr>
        <w:t>24</w:t>
      </w:r>
      <w:r>
        <w:rPr>
          <w:sz w:val="28"/>
          <w:szCs w:val="28"/>
        </w:rPr>
        <w:t xml:space="preserve">» без оформления договоров </w:t>
      </w:r>
      <w:r w:rsidRPr="00CB44BE">
        <w:rPr>
          <w:sz w:val="28"/>
          <w:szCs w:val="28"/>
        </w:rPr>
        <w:t xml:space="preserve"> аренд</w:t>
      </w:r>
      <w:r>
        <w:rPr>
          <w:sz w:val="28"/>
          <w:szCs w:val="28"/>
        </w:rPr>
        <w:t>ы</w:t>
      </w:r>
      <w:r w:rsidRPr="00CB44BE">
        <w:rPr>
          <w:sz w:val="28"/>
          <w:szCs w:val="28"/>
        </w:rPr>
        <w:t xml:space="preserve"> или безвозмездно</w:t>
      </w:r>
      <w:r>
        <w:rPr>
          <w:sz w:val="28"/>
          <w:szCs w:val="28"/>
        </w:rPr>
        <w:t>го</w:t>
      </w:r>
      <w:r w:rsidRPr="00CB44BE">
        <w:rPr>
          <w:sz w:val="28"/>
          <w:szCs w:val="28"/>
        </w:rPr>
        <w:t xml:space="preserve"> пользовани</w:t>
      </w:r>
      <w:r>
        <w:rPr>
          <w:sz w:val="28"/>
          <w:szCs w:val="28"/>
        </w:rPr>
        <w:t>я</w:t>
      </w:r>
      <w:r w:rsidRPr="00CB44BE">
        <w:rPr>
          <w:sz w:val="28"/>
          <w:szCs w:val="28"/>
        </w:rPr>
        <w:t xml:space="preserve"> не установлено.</w:t>
      </w:r>
    </w:p>
    <w:p w:rsidR="00FA7E61" w:rsidRDefault="00FA7E61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Проверкой исполнения контрактов по организации питания за 1 полугодие 2023 года нарушения условий контрактов поставщиком не выявлены.</w:t>
      </w:r>
    </w:p>
    <w:p w:rsidR="006A60E5" w:rsidRPr="006A60E5" w:rsidRDefault="0089677F" w:rsidP="002C3D2B">
      <w:pPr>
        <w:widowControl w:val="0"/>
        <w:autoSpaceDE w:val="0"/>
        <w:autoSpaceDN w:val="0"/>
        <w:adjustRightInd w:val="0"/>
        <w:ind w:right="-1" w:firstLine="710"/>
        <w:jc w:val="both"/>
        <w:rPr>
          <w:rStyle w:val="markedcontent"/>
          <w:sz w:val="28"/>
          <w:szCs w:val="28"/>
        </w:rPr>
      </w:pPr>
      <w:r w:rsidRPr="00B74918">
        <w:rPr>
          <w:sz w:val="28"/>
          <w:szCs w:val="28"/>
        </w:rPr>
        <w:t xml:space="preserve"> </w:t>
      </w:r>
      <w:r w:rsidR="006A60E5" w:rsidRPr="006A60E5">
        <w:rPr>
          <w:rStyle w:val="markedcontent"/>
          <w:sz w:val="28"/>
          <w:szCs w:val="28"/>
        </w:rPr>
        <w:t>В ходе внешнего муниципального финансового контроля выявлены следующие нарушения и недостатки:</w:t>
      </w:r>
    </w:p>
    <w:p w:rsidR="009B6FDE" w:rsidRPr="000D459C" w:rsidRDefault="009B6FDE" w:rsidP="009B6FDE">
      <w:pPr>
        <w:ind w:firstLine="709"/>
        <w:jc w:val="both"/>
        <w:rPr>
          <w:rStyle w:val="markedcontent"/>
          <w:b/>
          <w:sz w:val="28"/>
          <w:szCs w:val="28"/>
        </w:rPr>
      </w:pPr>
      <w:proofErr w:type="gramStart"/>
      <w:r w:rsidRPr="000D459C">
        <w:rPr>
          <w:rStyle w:val="markedcontent"/>
          <w:b/>
          <w:sz w:val="28"/>
          <w:szCs w:val="28"/>
        </w:rPr>
        <w:t>- Нарушени</w:t>
      </w:r>
      <w:r>
        <w:rPr>
          <w:rStyle w:val="markedcontent"/>
          <w:b/>
          <w:sz w:val="28"/>
          <w:szCs w:val="28"/>
        </w:rPr>
        <w:t>я в ходе исполнения бюджетов</w:t>
      </w:r>
      <w:r w:rsidRPr="000D459C">
        <w:rPr>
          <w:rStyle w:val="markedcontent"/>
          <w:b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1.2.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r>
        <w:rPr>
          <w:rStyle w:val="markedcontent"/>
          <w:i/>
          <w:sz w:val="28"/>
          <w:szCs w:val="28"/>
        </w:rPr>
        <w:t>№</w:t>
      </w:r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9B6FDE" w:rsidRDefault="009B6FDE" w:rsidP="009B6FDE">
      <w:pPr>
        <w:pStyle w:val="a7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Неисполнение муниципального задания в части количественных показателей:</w:t>
      </w:r>
    </w:p>
    <w:p w:rsidR="009B6FDE" w:rsidRDefault="009B6FDE" w:rsidP="009B6FDE">
      <w:pPr>
        <w:ind w:firstLine="709"/>
        <w:jc w:val="both"/>
        <w:rPr>
          <w:sz w:val="28"/>
          <w:szCs w:val="28"/>
        </w:rPr>
      </w:pPr>
      <w:r w:rsidRPr="00FA40E5">
        <w:rPr>
          <w:sz w:val="28"/>
          <w:szCs w:val="28"/>
        </w:rPr>
        <w:t>- количество обучающихся по муниципальной услуге «Реализация основных общеобразовательных программ начального общего образования» в 2020г.</w:t>
      </w:r>
      <w:r>
        <w:rPr>
          <w:sz w:val="28"/>
          <w:szCs w:val="28"/>
        </w:rPr>
        <w:t>,</w:t>
      </w:r>
      <w:r w:rsidRPr="00FA40E5">
        <w:rPr>
          <w:sz w:val="28"/>
          <w:szCs w:val="28"/>
        </w:rPr>
        <w:t xml:space="preserve"> 2021г. и 2022г. на 98,5%, 96,5% и 90,8% соответственно;</w:t>
      </w:r>
    </w:p>
    <w:p w:rsidR="009B6FDE" w:rsidRPr="00FA40E5" w:rsidRDefault="009B6FDE" w:rsidP="009B6FDE">
      <w:pPr>
        <w:ind w:firstLine="709"/>
        <w:jc w:val="both"/>
        <w:rPr>
          <w:sz w:val="28"/>
          <w:szCs w:val="28"/>
        </w:rPr>
      </w:pPr>
      <w:r w:rsidRPr="00FA40E5">
        <w:rPr>
          <w:sz w:val="28"/>
          <w:szCs w:val="28"/>
        </w:rPr>
        <w:t>- количество обучающихся по муниципальной услуге «Реализация основных общеобразовательных программ основного общего образования» в 2020г., 2021г. и 2022г. на 96,6%, 99,6% и 99,0% соответственно;</w:t>
      </w:r>
    </w:p>
    <w:p w:rsidR="009B6FDE" w:rsidRPr="00FA40E5" w:rsidRDefault="009B6FDE" w:rsidP="009B6FDE">
      <w:pPr>
        <w:ind w:firstLine="709"/>
        <w:jc w:val="both"/>
        <w:rPr>
          <w:sz w:val="28"/>
          <w:szCs w:val="28"/>
        </w:rPr>
      </w:pPr>
      <w:r w:rsidRPr="00FA40E5">
        <w:rPr>
          <w:rFonts w:ascii="Times New Roman CYR" w:hAnsi="Times New Roman CYR" w:cs="Times New Roman CYR"/>
          <w:sz w:val="28"/>
          <w:szCs w:val="28"/>
        </w:rPr>
        <w:t>- количество учащихся по муниципальной услуге «</w:t>
      </w:r>
      <w:r w:rsidRPr="00FA40E5">
        <w:rPr>
          <w:sz w:val="28"/>
          <w:szCs w:val="28"/>
        </w:rPr>
        <w:t>Реализация основных общеобразовательных программ среднего общего образования» в 2022</w:t>
      </w:r>
      <w:r>
        <w:rPr>
          <w:sz w:val="28"/>
          <w:szCs w:val="28"/>
        </w:rPr>
        <w:t xml:space="preserve"> </w:t>
      </w:r>
      <w:r w:rsidRPr="00FA40E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FA40E5">
        <w:rPr>
          <w:sz w:val="28"/>
          <w:szCs w:val="28"/>
        </w:rPr>
        <w:t xml:space="preserve"> на 98,0%;</w:t>
      </w:r>
    </w:p>
    <w:p w:rsidR="009B6FDE" w:rsidRPr="00FA40E5" w:rsidRDefault="009B6FDE" w:rsidP="009B6F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A40E5">
        <w:rPr>
          <w:sz w:val="28"/>
          <w:szCs w:val="28"/>
        </w:rPr>
        <w:t xml:space="preserve">- </w:t>
      </w:r>
      <w:r w:rsidRPr="00FA40E5">
        <w:rPr>
          <w:rFonts w:ascii="Times New Roman CYR" w:hAnsi="Times New Roman CYR" w:cs="Times New Roman CYR"/>
          <w:sz w:val="28"/>
          <w:szCs w:val="28"/>
        </w:rPr>
        <w:t>количество учащихся по муниципальной услуге «</w:t>
      </w:r>
      <w:r w:rsidRPr="00FA40E5">
        <w:rPr>
          <w:sz w:val="28"/>
          <w:szCs w:val="28"/>
        </w:rPr>
        <w:t>Реализация дополнительных общеобразовательных программ» в 2020 году на 97,7%, в 2022 году на 91,6%</w:t>
      </w:r>
      <w:r>
        <w:rPr>
          <w:sz w:val="28"/>
          <w:szCs w:val="28"/>
        </w:rPr>
        <w:t>.</w:t>
      </w:r>
    </w:p>
    <w:p w:rsidR="009B6FDE" w:rsidRPr="005438B9" w:rsidRDefault="009B6FDE" w:rsidP="009B6FDE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38B9">
        <w:rPr>
          <w:sz w:val="28"/>
          <w:szCs w:val="28"/>
        </w:rPr>
        <w:t xml:space="preserve"> части качественных показателей:</w:t>
      </w:r>
    </w:p>
    <w:p w:rsidR="009B6FDE" w:rsidRDefault="009B6FDE" w:rsidP="009B6FDE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46C8">
        <w:rPr>
          <w:rFonts w:ascii="Times New Roman CYR" w:hAnsi="Times New Roman CYR" w:cs="Times New Roman CYR"/>
          <w:sz w:val="28"/>
          <w:szCs w:val="28"/>
        </w:rPr>
        <w:t xml:space="preserve">- доля </w:t>
      </w:r>
      <w:proofErr w:type="gramStart"/>
      <w:r w:rsidRPr="008246C8">
        <w:rPr>
          <w:rFonts w:ascii="Times New Roman CYR" w:hAnsi="Times New Roman CYR" w:cs="Times New Roman CYR"/>
          <w:sz w:val="28"/>
          <w:szCs w:val="28"/>
        </w:rPr>
        <w:t>детей, осваивающих основную общеобразовательную программу начального общего образования по отчету в 2020 году  составляет</w:t>
      </w:r>
      <w:proofErr w:type="gramEnd"/>
      <w:r w:rsidRPr="008246C8">
        <w:rPr>
          <w:rFonts w:ascii="Times New Roman CYR" w:hAnsi="Times New Roman CYR" w:cs="Times New Roman CYR"/>
          <w:sz w:val="28"/>
          <w:szCs w:val="28"/>
        </w:rPr>
        <w:t xml:space="preserve"> в количестве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653</w:t>
      </w:r>
      <w:r w:rsidRPr="008246C8">
        <w:rPr>
          <w:rFonts w:ascii="Times New Roman CYR" w:hAnsi="Times New Roman CYR" w:cs="Times New Roman CYR"/>
          <w:sz w:val="28"/>
          <w:szCs w:val="28"/>
        </w:rPr>
        <w:t xml:space="preserve"> детей, фактически </w:t>
      </w:r>
      <w:r>
        <w:rPr>
          <w:rFonts w:ascii="Times New Roman CYR" w:hAnsi="Times New Roman CYR" w:cs="Times New Roman CYR"/>
          <w:sz w:val="28"/>
          <w:szCs w:val="28"/>
        </w:rPr>
        <w:t>98,5</w:t>
      </w:r>
      <w:r w:rsidRPr="008246C8">
        <w:rPr>
          <w:rFonts w:ascii="Times New Roman CYR" w:hAnsi="Times New Roman CYR" w:cs="Times New Roman CYR"/>
          <w:sz w:val="28"/>
          <w:szCs w:val="28"/>
        </w:rPr>
        <w:t xml:space="preserve">% </w:t>
      </w:r>
      <w:r>
        <w:rPr>
          <w:rFonts w:ascii="Times New Roman CYR" w:hAnsi="Times New Roman CYR" w:cs="Times New Roman CYR"/>
          <w:sz w:val="28"/>
          <w:szCs w:val="28"/>
        </w:rPr>
        <w:t>в количестве 643 детей</w:t>
      </w:r>
      <w:r w:rsidRPr="008246C8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в 2021 году 653 детей, фактически 96,5% в количестве 630 детей; в 2022 году 641 детей, фактически 90,8% в количестве 582 детей;</w:t>
      </w:r>
    </w:p>
    <w:p w:rsidR="009B6FDE" w:rsidRDefault="009B6FDE" w:rsidP="009B6FDE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246C8">
        <w:rPr>
          <w:rFonts w:ascii="Times New Roman CYR" w:hAnsi="Times New Roman CYR" w:cs="Times New Roman CYR"/>
          <w:sz w:val="28"/>
          <w:szCs w:val="28"/>
        </w:rPr>
        <w:t xml:space="preserve">доля </w:t>
      </w:r>
      <w:proofErr w:type="gramStart"/>
      <w:r w:rsidRPr="008246C8">
        <w:rPr>
          <w:rFonts w:ascii="Times New Roman CYR" w:hAnsi="Times New Roman CYR" w:cs="Times New Roman CYR"/>
          <w:sz w:val="28"/>
          <w:szCs w:val="28"/>
        </w:rPr>
        <w:t xml:space="preserve">детей, осваивающих основную общеобразовательную программу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8246C8">
        <w:rPr>
          <w:rFonts w:ascii="Times New Roman CYR" w:hAnsi="Times New Roman CYR" w:cs="Times New Roman CYR"/>
          <w:sz w:val="28"/>
          <w:szCs w:val="28"/>
        </w:rPr>
        <w:t xml:space="preserve"> общего образования по отчету в 2020 году  составляет</w:t>
      </w:r>
      <w:proofErr w:type="gramEnd"/>
      <w:r w:rsidRPr="008246C8">
        <w:rPr>
          <w:rFonts w:ascii="Times New Roman CYR" w:hAnsi="Times New Roman CYR" w:cs="Times New Roman CYR"/>
          <w:sz w:val="28"/>
          <w:szCs w:val="28"/>
        </w:rPr>
        <w:t xml:space="preserve"> в количестве </w:t>
      </w:r>
      <w:r>
        <w:rPr>
          <w:rFonts w:ascii="Times New Roman CYR" w:hAnsi="Times New Roman CYR" w:cs="Times New Roman CYR"/>
          <w:sz w:val="28"/>
          <w:szCs w:val="28"/>
        </w:rPr>
        <w:t>711</w:t>
      </w:r>
      <w:r w:rsidRPr="008246C8">
        <w:rPr>
          <w:rFonts w:ascii="Times New Roman CYR" w:hAnsi="Times New Roman CYR" w:cs="Times New Roman CYR"/>
          <w:sz w:val="28"/>
          <w:szCs w:val="28"/>
        </w:rPr>
        <w:t xml:space="preserve"> детей, фактически </w:t>
      </w:r>
      <w:r>
        <w:rPr>
          <w:rFonts w:ascii="Times New Roman CYR" w:hAnsi="Times New Roman CYR" w:cs="Times New Roman CYR"/>
          <w:sz w:val="28"/>
          <w:szCs w:val="28"/>
        </w:rPr>
        <w:t>96,6</w:t>
      </w:r>
      <w:r w:rsidRPr="008246C8">
        <w:rPr>
          <w:rFonts w:ascii="Times New Roman CYR" w:hAnsi="Times New Roman CYR" w:cs="Times New Roman CYR"/>
          <w:sz w:val="28"/>
          <w:szCs w:val="28"/>
        </w:rPr>
        <w:t xml:space="preserve">% в количестве </w:t>
      </w:r>
      <w:r>
        <w:rPr>
          <w:rFonts w:ascii="Times New Roman CYR" w:hAnsi="Times New Roman CYR" w:cs="Times New Roman CYR"/>
          <w:sz w:val="28"/>
          <w:szCs w:val="28"/>
        </w:rPr>
        <w:t>687</w:t>
      </w:r>
      <w:r w:rsidRPr="008246C8">
        <w:rPr>
          <w:rFonts w:ascii="Times New Roman CYR" w:hAnsi="Times New Roman CYR" w:cs="Times New Roman CYR"/>
          <w:sz w:val="28"/>
          <w:szCs w:val="28"/>
        </w:rPr>
        <w:t xml:space="preserve"> детей;</w:t>
      </w:r>
      <w:r>
        <w:rPr>
          <w:rFonts w:ascii="Times New Roman CYR" w:hAnsi="Times New Roman CYR" w:cs="Times New Roman CYR"/>
          <w:sz w:val="28"/>
          <w:szCs w:val="28"/>
        </w:rPr>
        <w:t xml:space="preserve"> в 2021 году 685 детей, фактически 99,6% в количестве 682 детей; в 2022 году 684 детей, фактически 99,0% в количестве 677 детей;</w:t>
      </w:r>
    </w:p>
    <w:p w:rsidR="009B6FDE" w:rsidRPr="008246C8" w:rsidRDefault="009B6FDE" w:rsidP="009B6FDE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доля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детей, осваивающих дополнительные общеобразовательные программы по отчету в 2020 году составляет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1 463 детей, фактически 97,7%, в количестве 1 430 детей; в 2022 году 1 426 детей, фактически 91,6%, в количестве 1 306 детей;</w:t>
      </w:r>
    </w:p>
    <w:p w:rsidR="009B6FDE" w:rsidRDefault="009B6FDE" w:rsidP="009B6FDE">
      <w:pPr>
        <w:ind w:right="-39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допущено неэффективное использование средств местного бюджета в виде отвлечения денежных средств на </w:t>
      </w:r>
      <w:r>
        <w:rPr>
          <w:sz w:val="28"/>
        </w:rPr>
        <w:t xml:space="preserve">просроченную дебиторскую задолженность по выплатам от начисленного </w:t>
      </w:r>
      <w:r w:rsidRPr="00FC49BC">
        <w:rPr>
          <w:sz w:val="28"/>
        </w:rPr>
        <w:t xml:space="preserve">фонда оплаты труда в страховые фонды, </w:t>
      </w:r>
      <w:r>
        <w:rPr>
          <w:sz w:val="28"/>
        </w:rPr>
        <w:t xml:space="preserve">пени в сумме 73,4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 xml:space="preserve">. </w:t>
      </w:r>
      <w:r w:rsidRPr="0000375F">
        <w:rPr>
          <w:i/>
          <w:sz w:val="28"/>
        </w:rPr>
        <w:t xml:space="preserve">(в </w:t>
      </w:r>
      <w:r w:rsidRPr="0000375F">
        <w:rPr>
          <w:i/>
          <w:sz w:val="28"/>
          <w:szCs w:val="28"/>
        </w:rPr>
        <w:t xml:space="preserve">ходе проверки Учреждением направлено  письмо </w:t>
      </w:r>
      <w:r w:rsidRPr="00280830">
        <w:rPr>
          <w:i/>
          <w:sz w:val="28"/>
          <w:szCs w:val="28"/>
        </w:rPr>
        <w:t>№ 1 от 27.02.2023г. в МРИ</w:t>
      </w:r>
      <w:r>
        <w:rPr>
          <w:i/>
          <w:sz w:val="28"/>
          <w:szCs w:val="28"/>
        </w:rPr>
        <w:t xml:space="preserve"> </w:t>
      </w:r>
      <w:r w:rsidRPr="00280830">
        <w:rPr>
          <w:i/>
          <w:sz w:val="28"/>
          <w:szCs w:val="28"/>
        </w:rPr>
        <w:t>ФНС Росси №16 по РТ о принятии решения по возврату имеющейся переплаты</w:t>
      </w:r>
      <w:r w:rsidRPr="0000375F"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B6FDE" w:rsidRPr="001A6EA0" w:rsidRDefault="009B6FDE" w:rsidP="009B6FDE">
      <w:pPr>
        <w:ind w:right="-39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</w:t>
      </w:r>
      <w:hyperlink r:id="rId10" w:anchor="/document/12125268/entry/602" w:history="1">
        <w:r w:rsidRPr="009B6FDE">
          <w:rPr>
            <w:rStyle w:val="af3"/>
            <w:color w:val="auto"/>
            <w:sz w:val="28"/>
            <w:u w:val="none"/>
          </w:rPr>
          <w:t>ст. 60.2</w:t>
        </w:r>
      </w:hyperlink>
      <w:r w:rsidRPr="009B6FDE">
        <w:rPr>
          <w:sz w:val="28"/>
        </w:rPr>
        <w:t xml:space="preserve"> ТК РФ и </w:t>
      </w:r>
      <w:hyperlink r:id="rId11" w:anchor="/document/12125268/entry/151" w:history="1">
        <w:r w:rsidRPr="009B6FDE">
          <w:rPr>
            <w:rStyle w:val="af3"/>
            <w:color w:val="auto"/>
            <w:sz w:val="28"/>
            <w:u w:val="none"/>
          </w:rPr>
          <w:t>ст. 151</w:t>
        </w:r>
      </w:hyperlink>
      <w:r w:rsidRPr="00DD74CC">
        <w:rPr>
          <w:i/>
          <w:sz w:val="28"/>
        </w:rPr>
        <w:t xml:space="preserve"> ТК РФ</w:t>
      </w:r>
      <w:r>
        <w:rPr>
          <w:sz w:val="28"/>
          <w:szCs w:val="28"/>
        </w:rPr>
        <w:t xml:space="preserve"> с</w:t>
      </w:r>
      <w:r w:rsidRPr="00DD74CC">
        <w:rPr>
          <w:sz w:val="28"/>
        </w:rPr>
        <w:t>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 с работниками школы работодателем письменно не оформлялось</w:t>
      </w:r>
      <w:r>
        <w:rPr>
          <w:sz w:val="28"/>
        </w:rPr>
        <w:t>,</w:t>
      </w:r>
      <w:r w:rsidRPr="00DD74CC">
        <w:rPr>
          <w:sz w:val="28"/>
        </w:rPr>
        <w:t xml:space="preserve"> и не </w:t>
      </w:r>
      <w:r>
        <w:rPr>
          <w:sz w:val="28"/>
        </w:rPr>
        <w:t>согласовывалось;</w:t>
      </w:r>
    </w:p>
    <w:p w:rsidR="009B6FDE" w:rsidRDefault="009B6FDE" w:rsidP="009B6FDE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- в нарушение </w:t>
      </w:r>
      <w:r w:rsidRPr="00DD74CC">
        <w:rPr>
          <w:sz w:val="28"/>
        </w:rPr>
        <w:t xml:space="preserve">ст.282 </w:t>
      </w:r>
      <w:r>
        <w:rPr>
          <w:sz w:val="28"/>
        </w:rPr>
        <w:t xml:space="preserve"> ТК РФ в</w:t>
      </w:r>
      <w:r w:rsidRPr="00DD74CC">
        <w:rPr>
          <w:sz w:val="28"/>
        </w:rPr>
        <w:t>нутреннее совместительство с работниками  не оф</w:t>
      </w:r>
      <w:r>
        <w:rPr>
          <w:sz w:val="28"/>
        </w:rPr>
        <w:t>ормлялось трудовыми договорами;</w:t>
      </w:r>
    </w:p>
    <w:p w:rsidR="009B6FDE" w:rsidRDefault="009B6FDE" w:rsidP="009B6FDE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- в нарушение ст.91 ТК РФ в </w:t>
      </w:r>
      <w:r w:rsidRPr="00DD74CC">
        <w:rPr>
          <w:sz w:val="28"/>
        </w:rPr>
        <w:t>Учреждении не обеспечен точный учет продолжительности сверхурочной работы работник</w:t>
      </w:r>
      <w:r>
        <w:rPr>
          <w:sz w:val="28"/>
        </w:rPr>
        <w:t xml:space="preserve">ов </w:t>
      </w:r>
      <w:r>
        <w:rPr>
          <w:sz w:val="28"/>
          <w:szCs w:val="28"/>
        </w:rPr>
        <w:t xml:space="preserve">административно-управленческого персонала и младшего обслуживающего персонала, </w:t>
      </w:r>
      <w:r w:rsidRPr="0043268B">
        <w:rPr>
          <w:sz w:val="28"/>
          <w:szCs w:val="28"/>
          <w:shd w:val="clear" w:color="auto" w:fill="FFFFFF"/>
        </w:rPr>
        <w:t xml:space="preserve">за период 2020-2022г.г. за замещение МОП </w:t>
      </w:r>
      <w:r w:rsidRPr="004E7158">
        <w:rPr>
          <w:sz w:val="28"/>
          <w:szCs w:val="28"/>
          <w:shd w:val="clear" w:color="auto" w:fill="FFFFFF"/>
        </w:rPr>
        <w:t xml:space="preserve">сотрудникам </w:t>
      </w:r>
      <w:r>
        <w:rPr>
          <w:sz w:val="28"/>
          <w:szCs w:val="28"/>
          <w:shd w:val="clear" w:color="auto" w:fill="FFFFFF"/>
        </w:rPr>
        <w:t xml:space="preserve">школы кроме зарплаты по основной деятельности </w:t>
      </w:r>
      <w:r w:rsidRPr="004E7158">
        <w:rPr>
          <w:sz w:val="28"/>
          <w:szCs w:val="28"/>
          <w:shd w:val="clear" w:color="auto" w:fill="FFFFFF"/>
        </w:rPr>
        <w:t>по приказам директора школы было  начислено и перечислено по КОСГУ 211 статья –</w:t>
      </w:r>
      <w:r>
        <w:rPr>
          <w:sz w:val="28"/>
          <w:szCs w:val="28"/>
          <w:shd w:val="clear" w:color="auto" w:fill="FFFFFF"/>
        </w:rPr>
        <w:t xml:space="preserve"> </w:t>
      </w:r>
      <w:r w:rsidRPr="00E769CE">
        <w:rPr>
          <w:sz w:val="28"/>
          <w:szCs w:val="28"/>
          <w:shd w:val="clear" w:color="auto" w:fill="FFFFFF"/>
        </w:rPr>
        <w:t xml:space="preserve">3 264,4 </w:t>
      </w:r>
      <w:proofErr w:type="spellStart"/>
      <w:r w:rsidRPr="00E769CE">
        <w:rPr>
          <w:sz w:val="28"/>
          <w:szCs w:val="28"/>
          <w:shd w:val="clear" w:color="auto" w:fill="FFFFFF"/>
        </w:rPr>
        <w:t>тыс</w:t>
      </w:r>
      <w:proofErr w:type="gramStart"/>
      <w:r w:rsidRPr="00E769CE">
        <w:rPr>
          <w:sz w:val="28"/>
          <w:szCs w:val="28"/>
          <w:shd w:val="clear" w:color="auto" w:fill="FFFFFF"/>
        </w:rPr>
        <w:t>.р</w:t>
      </w:r>
      <w:proofErr w:type="gramEnd"/>
      <w:r w:rsidRPr="00E769CE">
        <w:rPr>
          <w:sz w:val="28"/>
          <w:szCs w:val="28"/>
          <w:shd w:val="clear" w:color="auto" w:fill="FFFFFF"/>
        </w:rPr>
        <w:t>уб</w:t>
      </w:r>
      <w:proofErr w:type="spellEnd"/>
      <w:r w:rsidRPr="00E769CE">
        <w:rPr>
          <w:sz w:val="28"/>
          <w:szCs w:val="28"/>
          <w:shd w:val="clear" w:color="auto" w:fill="FFFFFF"/>
        </w:rPr>
        <w:t xml:space="preserve">., по КОСГУ 213 статья – 985,8 </w:t>
      </w:r>
      <w:proofErr w:type="spellStart"/>
      <w:r w:rsidRPr="00E769CE">
        <w:rPr>
          <w:sz w:val="28"/>
          <w:szCs w:val="28"/>
          <w:shd w:val="clear" w:color="auto" w:fill="FFFFFF"/>
        </w:rPr>
        <w:t>тыс.руб</w:t>
      </w:r>
      <w:proofErr w:type="spellEnd"/>
      <w:r w:rsidRPr="00E769C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;</w:t>
      </w:r>
    </w:p>
    <w:p w:rsidR="009B6FDE" w:rsidRDefault="009B6FDE" w:rsidP="009B6FDE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41314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нарушение </w:t>
      </w:r>
      <w:r w:rsidRPr="008526C0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</w:t>
      </w:r>
      <w:r w:rsidRPr="008526C0">
        <w:rPr>
          <w:bCs/>
          <w:sz w:val="28"/>
          <w:szCs w:val="28"/>
        </w:rPr>
        <w:t xml:space="preserve"> 3.3.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Положения о порядке расчета нормативных затрат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</w:t>
      </w:r>
      <w:r w:rsidRPr="008526C0">
        <w:rPr>
          <w:bCs/>
          <w:sz w:val="28"/>
          <w:szCs w:val="28"/>
        </w:rPr>
        <w:t xml:space="preserve">общеобразовательных организациях Республики Татарстан, утвержденного  </w:t>
      </w:r>
      <w:r>
        <w:rPr>
          <w:bCs/>
          <w:sz w:val="28"/>
          <w:szCs w:val="28"/>
        </w:rPr>
        <w:t xml:space="preserve">ПКМ РТ </w:t>
      </w:r>
      <w:r w:rsidRPr="008526C0">
        <w:rPr>
          <w:bCs/>
          <w:sz w:val="28"/>
          <w:szCs w:val="28"/>
        </w:rPr>
        <w:t>от 08.08.2017 №</w:t>
      </w:r>
      <w:r>
        <w:rPr>
          <w:bCs/>
          <w:sz w:val="28"/>
          <w:szCs w:val="28"/>
        </w:rPr>
        <w:t xml:space="preserve"> </w:t>
      </w:r>
      <w:r w:rsidRPr="008526C0">
        <w:rPr>
          <w:bCs/>
          <w:sz w:val="28"/>
          <w:szCs w:val="28"/>
        </w:rPr>
        <w:t>566</w:t>
      </w:r>
      <w:r>
        <w:rPr>
          <w:bCs/>
          <w:sz w:val="28"/>
          <w:szCs w:val="28"/>
        </w:rPr>
        <w:t xml:space="preserve">, в </w:t>
      </w:r>
      <w:r w:rsidRPr="00413147">
        <w:rPr>
          <w:bCs/>
          <w:sz w:val="28"/>
          <w:szCs w:val="28"/>
        </w:rPr>
        <w:t>проверяемом периоде  доля расходов на заработную плату административно-управленческого персонала и учебно-вспомогательного персонала общеобразовательн</w:t>
      </w:r>
      <w:r>
        <w:rPr>
          <w:bCs/>
          <w:sz w:val="28"/>
          <w:szCs w:val="28"/>
        </w:rPr>
        <w:t>ого</w:t>
      </w:r>
      <w:r w:rsidRPr="0041314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413147">
        <w:rPr>
          <w:bCs/>
          <w:sz w:val="28"/>
          <w:szCs w:val="28"/>
        </w:rPr>
        <w:t xml:space="preserve"> превышала  установленный норматив – 12</w:t>
      </w:r>
      <w:proofErr w:type="gramEnd"/>
      <w:r w:rsidRPr="00413147">
        <w:rPr>
          <w:bCs/>
          <w:sz w:val="28"/>
          <w:szCs w:val="28"/>
        </w:rPr>
        <w:t>% фонда оплаты труда педагогического персонала на</w:t>
      </w:r>
      <w:r>
        <w:rPr>
          <w:bCs/>
          <w:sz w:val="28"/>
          <w:szCs w:val="28"/>
        </w:rPr>
        <w:t xml:space="preserve"> общую сумму 67,8 </w:t>
      </w:r>
      <w:r w:rsidRPr="00413147">
        <w:rPr>
          <w:bCs/>
          <w:sz w:val="28"/>
          <w:szCs w:val="28"/>
        </w:rPr>
        <w:t>тыс. ру</w:t>
      </w:r>
      <w:r>
        <w:rPr>
          <w:bCs/>
          <w:sz w:val="28"/>
          <w:szCs w:val="28"/>
        </w:rPr>
        <w:t>блей;</w:t>
      </w:r>
    </w:p>
    <w:p w:rsidR="009B6FDE" w:rsidRDefault="009B6FDE" w:rsidP="009B6FDE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Pr="00062EBF">
        <w:rPr>
          <w:sz w:val="28"/>
          <w:szCs w:val="28"/>
        </w:rPr>
        <w:t>в Положении о</w:t>
      </w:r>
      <w:r w:rsidRPr="00062EBF">
        <w:rPr>
          <w:color w:val="000000"/>
          <w:sz w:val="28"/>
          <w:szCs w:val="28"/>
          <w:lang w:eastAsia="en-US"/>
        </w:rPr>
        <w:t xml:space="preserve"> расходовании внебюджетных средств</w:t>
      </w:r>
      <w:r w:rsidRPr="00062EBF">
        <w:rPr>
          <w:sz w:val="28"/>
          <w:szCs w:val="28"/>
        </w:rPr>
        <w:t xml:space="preserve"> отсутствует порядок распределения средств, полученных от платных услуг на оплату труда работников;</w:t>
      </w:r>
      <w:r w:rsidRPr="00633E8A">
        <w:rPr>
          <w:b/>
          <w:sz w:val="28"/>
          <w:szCs w:val="28"/>
        </w:rPr>
        <w:t xml:space="preserve"> </w:t>
      </w:r>
    </w:p>
    <w:p w:rsidR="009B6FDE" w:rsidRDefault="009B6FDE" w:rsidP="009B6FDE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Style w:val="markedcontent"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63EA2">
        <w:rPr>
          <w:rStyle w:val="markedcontent"/>
          <w:b/>
          <w:sz w:val="28"/>
          <w:szCs w:val="28"/>
        </w:rPr>
        <w:t>Нарушения установленных единых требований к бюджетному (бухгалтерскому) учету, в том числе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бюджетной, бухгалтерской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(финансовой) отчетности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9B6FDE" w:rsidRDefault="009B6FDE" w:rsidP="009B6FD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1) в</w:t>
      </w:r>
      <w:r w:rsidRPr="00B175FF">
        <w:rPr>
          <w:sz w:val="28"/>
        </w:rPr>
        <w:t xml:space="preserve"> нарушение п.25</w:t>
      </w:r>
      <w:r>
        <w:rPr>
          <w:sz w:val="28"/>
        </w:rPr>
        <w:t>4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>по балансовому счету 30</w:t>
      </w:r>
      <w:r>
        <w:rPr>
          <w:sz w:val="28"/>
        </w:rPr>
        <w:t>2</w:t>
      </w:r>
      <w:r w:rsidRPr="00B175FF">
        <w:rPr>
          <w:sz w:val="28"/>
        </w:rPr>
        <w:t>00</w:t>
      </w:r>
      <w:r>
        <w:t xml:space="preserve"> «</w:t>
      </w:r>
      <w:r w:rsidRPr="00B175FF">
        <w:rPr>
          <w:sz w:val="28"/>
        </w:rPr>
        <w:t>Расчеты</w:t>
      </w:r>
      <w:r>
        <w:rPr>
          <w:sz w:val="28"/>
        </w:rPr>
        <w:t xml:space="preserve"> по принятым обязательствам</w:t>
      </w:r>
      <w:r w:rsidRPr="00B175FF">
        <w:rPr>
          <w:sz w:val="28"/>
        </w:rPr>
        <w:t>»</w:t>
      </w:r>
      <w:r>
        <w:rPr>
          <w:sz w:val="28"/>
        </w:rPr>
        <w:t xml:space="preserve">, </w:t>
      </w:r>
      <w:r w:rsidRPr="009556EC">
        <w:rPr>
          <w:sz w:val="28"/>
        </w:rPr>
        <w:t>(строка 260) бюджетной отчетности Учреждения (Баланса ф. по ОКУД 0503730)</w:t>
      </w:r>
      <w:r w:rsidRPr="00B175FF">
        <w:rPr>
          <w:sz w:val="28"/>
        </w:rPr>
        <w:t xml:space="preserve"> не отражена дебиторская задолженность (переплата) </w:t>
      </w:r>
      <w:r>
        <w:rPr>
          <w:sz w:val="28"/>
        </w:rPr>
        <w:t xml:space="preserve">по выплатам в пользу сотрудников в размере 2,8 </w:t>
      </w:r>
      <w:proofErr w:type="spellStart"/>
      <w:r w:rsidRPr="00B175FF">
        <w:rPr>
          <w:sz w:val="28"/>
        </w:rPr>
        <w:t>тыс</w:t>
      </w:r>
      <w:proofErr w:type="gramStart"/>
      <w:r w:rsidRPr="00B175FF">
        <w:rPr>
          <w:sz w:val="28"/>
        </w:rPr>
        <w:t>.р</w:t>
      </w:r>
      <w:proofErr w:type="gramEnd"/>
      <w:r w:rsidRPr="00B175FF">
        <w:rPr>
          <w:sz w:val="28"/>
        </w:rPr>
        <w:t>уб</w:t>
      </w:r>
      <w:proofErr w:type="spellEnd"/>
      <w:r w:rsidRPr="00B175FF">
        <w:rPr>
          <w:sz w:val="28"/>
        </w:rPr>
        <w:t>. по итог</w:t>
      </w:r>
      <w:r>
        <w:rPr>
          <w:sz w:val="28"/>
        </w:rPr>
        <w:t>у</w:t>
      </w:r>
      <w:r w:rsidRPr="00B175FF">
        <w:rPr>
          <w:sz w:val="28"/>
        </w:rPr>
        <w:t xml:space="preserve"> </w:t>
      </w:r>
      <w:r>
        <w:rPr>
          <w:sz w:val="28"/>
        </w:rPr>
        <w:t>2022 года</w:t>
      </w:r>
      <w:r>
        <w:rPr>
          <w:sz w:val="28"/>
          <w:szCs w:val="28"/>
        </w:rPr>
        <w:t>;</w:t>
      </w:r>
    </w:p>
    <w:p w:rsidR="009B6FDE" w:rsidRDefault="009B6FDE" w:rsidP="009B6FD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</w:rPr>
        <w:t>в</w:t>
      </w:r>
      <w:r w:rsidRPr="00B175FF">
        <w:rPr>
          <w:sz w:val="28"/>
        </w:rPr>
        <w:t xml:space="preserve"> нарушение п.</w:t>
      </w:r>
      <w:r>
        <w:rPr>
          <w:sz w:val="28"/>
        </w:rPr>
        <w:t>302.1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 xml:space="preserve">по балансовому счету </w:t>
      </w:r>
      <w:r>
        <w:rPr>
          <w:sz w:val="28"/>
        </w:rPr>
        <w:t>40160</w:t>
      </w:r>
      <w:r>
        <w:t xml:space="preserve"> «</w:t>
      </w:r>
      <w:r w:rsidRPr="00B175FF">
        <w:rPr>
          <w:sz w:val="28"/>
        </w:rPr>
        <w:t>Р</w:t>
      </w:r>
      <w:r>
        <w:rPr>
          <w:sz w:val="28"/>
        </w:rPr>
        <w:t>езервы предстоящих расходов</w:t>
      </w:r>
      <w:r w:rsidRPr="00B175FF">
        <w:rPr>
          <w:sz w:val="28"/>
        </w:rPr>
        <w:t>»</w:t>
      </w:r>
      <w:r>
        <w:rPr>
          <w:sz w:val="28"/>
        </w:rPr>
        <w:t xml:space="preserve">, </w:t>
      </w:r>
      <w:r w:rsidRPr="009556EC">
        <w:rPr>
          <w:sz w:val="28"/>
        </w:rPr>
        <w:t xml:space="preserve">(строка </w:t>
      </w:r>
      <w:r>
        <w:rPr>
          <w:sz w:val="28"/>
        </w:rPr>
        <w:t>520</w:t>
      </w:r>
      <w:r w:rsidRPr="009556EC">
        <w:rPr>
          <w:sz w:val="28"/>
        </w:rPr>
        <w:t>) бюджетной отчетности Учреждения (Баланса ф. по ОКУД 0503730)</w:t>
      </w:r>
      <w:r w:rsidRPr="00B175FF">
        <w:rPr>
          <w:sz w:val="28"/>
        </w:rPr>
        <w:t xml:space="preserve"> </w:t>
      </w:r>
      <w:r>
        <w:rPr>
          <w:sz w:val="28"/>
        </w:rPr>
        <w:t xml:space="preserve">резерв отпусков работников ежегодно (2020, 2021, 2022 годы) начислялся в размере 5 616,3 </w:t>
      </w:r>
      <w:proofErr w:type="spellStart"/>
      <w:r>
        <w:rPr>
          <w:sz w:val="28"/>
        </w:rPr>
        <w:t>т</w:t>
      </w:r>
      <w:r w:rsidRPr="00B175FF">
        <w:rPr>
          <w:sz w:val="28"/>
        </w:rPr>
        <w:t>ыс</w:t>
      </w:r>
      <w:proofErr w:type="gramStart"/>
      <w:r w:rsidRPr="00B175FF">
        <w:rPr>
          <w:sz w:val="28"/>
        </w:rPr>
        <w:t>.р</w:t>
      </w:r>
      <w:proofErr w:type="gramEnd"/>
      <w:r w:rsidRPr="00B175FF">
        <w:rPr>
          <w:sz w:val="28"/>
        </w:rPr>
        <w:t>уб</w:t>
      </w:r>
      <w:proofErr w:type="spellEnd"/>
      <w:r w:rsidRPr="00B175FF">
        <w:rPr>
          <w:sz w:val="28"/>
        </w:rPr>
        <w:t>.</w:t>
      </w:r>
      <w:r>
        <w:rPr>
          <w:sz w:val="28"/>
        </w:rPr>
        <w:t xml:space="preserve"> без учета платежей на обязательное социальное страхование сотрудников, что повлекло </w:t>
      </w:r>
      <w:r w:rsidRPr="005A09B8">
        <w:rPr>
          <w:sz w:val="28"/>
        </w:rPr>
        <w:t>представление бюджетной отчетности Учреждения в Финансово-бюджетную палату Альметьевского муниципального района, содержащее грубое искажение показателя «Резервы предстоящих расходов</w:t>
      </w:r>
      <w:r>
        <w:rPr>
          <w:sz w:val="28"/>
        </w:rPr>
        <w:t>»</w:t>
      </w:r>
      <w:r w:rsidRPr="005A09B8">
        <w:rPr>
          <w:sz w:val="28"/>
        </w:rPr>
        <w:t xml:space="preserve"> (040160000)</w:t>
      </w:r>
      <w:r>
        <w:rPr>
          <w:sz w:val="28"/>
        </w:rPr>
        <w:t xml:space="preserve"> </w:t>
      </w:r>
      <w:r w:rsidRPr="00DF6113">
        <w:rPr>
          <w:sz w:val="28"/>
        </w:rPr>
        <w:t xml:space="preserve">на  1 696,1 </w:t>
      </w:r>
      <w:proofErr w:type="spellStart"/>
      <w:r w:rsidRPr="00DF6113">
        <w:rPr>
          <w:sz w:val="28"/>
        </w:rPr>
        <w:t>тыс</w:t>
      </w:r>
      <w:proofErr w:type="gramStart"/>
      <w:r w:rsidRPr="00DF6113">
        <w:rPr>
          <w:sz w:val="28"/>
        </w:rPr>
        <w:t>.р</w:t>
      </w:r>
      <w:proofErr w:type="gramEnd"/>
      <w:r w:rsidRPr="00DF6113">
        <w:rPr>
          <w:sz w:val="28"/>
        </w:rPr>
        <w:t>ублей</w:t>
      </w:r>
      <w:proofErr w:type="spellEnd"/>
      <w:r w:rsidRPr="005A09B8">
        <w:rPr>
          <w:sz w:val="28"/>
          <w:szCs w:val="28"/>
        </w:rPr>
        <w:t>;</w:t>
      </w:r>
    </w:p>
    <w:p w:rsidR="009B6FDE" w:rsidRDefault="009B6FDE" w:rsidP="009B6FD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в</w:t>
      </w:r>
      <w:r w:rsidRPr="00BB248E">
        <w:rPr>
          <w:sz w:val="28"/>
          <w:szCs w:val="28"/>
        </w:rPr>
        <w:t xml:space="preserve"> нарушение</w:t>
      </w:r>
      <w:r w:rsidRPr="005A09B8">
        <w:rPr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 w:rsidRPr="009B4321">
        <w:rPr>
          <w:sz w:val="28"/>
          <w:szCs w:val="28"/>
        </w:rPr>
        <w:t xml:space="preserve"> 19 Федерального закона от 06.12.2011 № 402-ФЗ</w:t>
      </w:r>
      <w:r w:rsidRPr="00BB248E">
        <w:rPr>
          <w:sz w:val="28"/>
          <w:szCs w:val="28"/>
        </w:rPr>
        <w:t>, Учреждением не производилась инвентаризация дебиторской задолженности по налогам и сборам по состоянию на 01.01.2023 года</w:t>
      </w:r>
      <w:r>
        <w:rPr>
          <w:sz w:val="28"/>
          <w:szCs w:val="28"/>
        </w:rPr>
        <w:t>, инвентаризация резервов предстоящих расходов</w:t>
      </w:r>
      <w:r w:rsidRPr="00BB248E">
        <w:rPr>
          <w:sz w:val="28"/>
          <w:szCs w:val="28"/>
        </w:rPr>
        <w:t xml:space="preserve">. </w:t>
      </w:r>
    </w:p>
    <w:p w:rsidR="009B6FDE" w:rsidRPr="001640F9" w:rsidRDefault="009B6FDE" w:rsidP="009B6FDE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668D4">
        <w:rPr>
          <w:rStyle w:val="markedcontent"/>
          <w:b/>
          <w:sz w:val="28"/>
          <w:szCs w:val="28"/>
        </w:rPr>
        <w:t>Нарушения в сфере управления и распоряжения государственной (муниципальной) собственностью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3</w:t>
      </w:r>
      <w:r w:rsidRPr="000D459C">
        <w:rPr>
          <w:rStyle w:val="markedcontent"/>
          <w:i/>
          <w:sz w:val="28"/>
          <w:szCs w:val="28"/>
        </w:rPr>
        <w:t>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9B6FDE" w:rsidRPr="00280830" w:rsidRDefault="009B6FDE" w:rsidP="009B6FDE">
      <w:pPr>
        <w:ind w:firstLine="709"/>
        <w:jc w:val="both"/>
        <w:rPr>
          <w:sz w:val="28"/>
          <w:szCs w:val="28"/>
        </w:rPr>
      </w:pPr>
      <w:r w:rsidRPr="0000375F">
        <w:rPr>
          <w:sz w:val="28"/>
          <w:szCs w:val="28"/>
        </w:rPr>
        <w:t xml:space="preserve">1) </w:t>
      </w:r>
      <w:r w:rsidRPr="00280830">
        <w:rPr>
          <w:sz w:val="28"/>
          <w:szCs w:val="28"/>
        </w:rPr>
        <w:t>выявлено неиспользуемое имущество (</w:t>
      </w:r>
      <w:r>
        <w:rPr>
          <w:sz w:val="28"/>
          <w:szCs w:val="28"/>
        </w:rPr>
        <w:t>с</w:t>
      </w:r>
      <w:r w:rsidRPr="00280830">
        <w:rPr>
          <w:sz w:val="28"/>
          <w:szCs w:val="28"/>
        </w:rPr>
        <w:t xml:space="preserve">терилизатор воздушный (2003г.) – 4 ед., медицинский шкаф – 2 ед.) общей балансовой стоимостью 110,4 </w:t>
      </w:r>
      <w:proofErr w:type="spellStart"/>
      <w:r w:rsidRPr="00280830">
        <w:rPr>
          <w:sz w:val="28"/>
          <w:szCs w:val="28"/>
        </w:rPr>
        <w:t>тыс</w:t>
      </w:r>
      <w:proofErr w:type="gramStart"/>
      <w:r w:rsidRPr="00280830">
        <w:rPr>
          <w:sz w:val="28"/>
          <w:szCs w:val="28"/>
        </w:rPr>
        <w:t>.р</w:t>
      </w:r>
      <w:proofErr w:type="gramEnd"/>
      <w:r w:rsidRPr="00280830">
        <w:rPr>
          <w:sz w:val="28"/>
          <w:szCs w:val="28"/>
        </w:rPr>
        <w:t>уб</w:t>
      </w:r>
      <w:proofErr w:type="spellEnd"/>
      <w:r w:rsidRPr="00280830">
        <w:rPr>
          <w:sz w:val="28"/>
          <w:szCs w:val="28"/>
        </w:rPr>
        <w:t xml:space="preserve">., остаточной стоимостью 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</w:t>
      </w:r>
    </w:p>
    <w:p w:rsidR="009B6FDE" w:rsidRDefault="009B6FDE" w:rsidP="009B6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0375F">
        <w:rPr>
          <w:sz w:val="28"/>
          <w:szCs w:val="28"/>
        </w:rPr>
        <w:t xml:space="preserve">в нарушение п.5 ст.51 Федерального закона от 06.10.2003 г. № 131-ФЗ в Реестр муниципальной собственности Школы не включено имущество </w:t>
      </w:r>
      <w:r w:rsidRPr="007C4BE3">
        <w:rPr>
          <w:sz w:val="28"/>
          <w:szCs w:val="28"/>
        </w:rPr>
        <w:t>(Интерактивная панель (12.2022г.), комплект устройств визуализации (12.2022г.))</w:t>
      </w:r>
      <w:r w:rsidRPr="0000375F">
        <w:rPr>
          <w:sz w:val="28"/>
          <w:szCs w:val="28"/>
        </w:rPr>
        <w:t xml:space="preserve"> </w:t>
      </w:r>
      <w:r w:rsidRPr="007E61B7">
        <w:rPr>
          <w:sz w:val="28"/>
          <w:szCs w:val="28"/>
        </w:rPr>
        <w:t>балансовой стоимостью 1</w:t>
      </w:r>
      <w:r>
        <w:rPr>
          <w:sz w:val="28"/>
          <w:szCs w:val="28"/>
        </w:rPr>
        <w:t xml:space="preserve"> 085,9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</w:t>
      </w:r>
      <w:r w:rsidRPr="0000375F">
        <w:rPr>
          <w:i/>
          <w:sz w:val="28"/>
          <w:szCs w:val="28"/>
        </w:rPr>
        <w:t>(</w:t>
      </w:r>
      <w:r w:rsidRPr="007C4BE3">
        <w:rPr>
          <w:i/>
          <w:sz w:val="28"/>
          <w:szCs w:val="28"/>
        </w:rPr>
        <w:t>В ходе проверки предоставлено дополнительное соглашение №</w:t>
      </w:r>
      <w:r>
        <w:rPr>
          <w:i/>
          <w:sz w:val="28"/>
          <w:szCs w:val="28"/>
        </w:rPr>
        <w:t xml:space="preserve"> </w:t>
      </w:r>
      <w:r w:rsidRPr="007C4BE3">
        <w:rPr>
          <w:i/>
          <w:sz w:val="28"/>
          <w:szCs w:val="28"/>
        </w:rPr>
        <w:t>106/23-1723 от 03.02.2023г. к договору о закреплении муниципального имущества на праве оперативного управления от 20.02.2021г. №</w:t>
      </w:r>
      <w:r>
        <w:rPr>
          <w:i/>
          <w:sz w:val="28"/>
          <w:szCs w:val="28"/>
        </w:rPr>
        <w:t xml:space="preserve"> </w:t>
      </w:r>
      <w:proofErr w:type="gramStart"/>
      <w:r w:rsidRPr="007C4BE3">
        <w:rPr>
          <w:i/>
          <w:sz w:val="28"/>
          <w:szCs w:val="28"/>
        </w:rPr>
        <w:t>006/21-011 на вышеуказанные объекты</w:t>
      </w:r>
      <w:r>
        <w:rPr>
          <w:sz w:val="28"/>
          <w:szCs w:val="28"/>
        </w:rPr>
        <w:t>);</w:t>
      </w:r>
      <w:proofErr w:type="gramEnd"/>
    </w:p>
    <w:p w:rsidR="009B6FDE" w:rsidRDefault="009B6FDE" w:rsidP="009B6FDE">
      <w:pPr>
        <w:shd w:val="clear" w:color="auto" w:fill="FFFFFF"/>
        <w:spacing w:before="120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>3) в</w:t>
      </w:r>
      <w:r w:rsidRPr="00004F6F">
        <w:rPr>
          <w:rFonts w:eastAsia="SimSun"/>
          <w:sz w:val="28"/>
          <w:szCs w:val="28"/>
          <w:lang w:eastAsia="zh-CN"/>
        </w:rPr>
        <w:t xml:space="preserve"> нарушение норм, установленных п.52 Инструкции 157н, п.45 Стандарта «Основные средства», п.2 Положения, имущество стоимостью </w:t>
      </w:r>
      <w:r>
        <w:rPr>
          <w:rFonts w:eastAsia="SimSun"/>
          <w:sz w:val="28"/>
          <w:szCs w:val="28"/>
          <w:lang w:eastAsia="zh-CN"/>
        </w:rPr>
        <w:t>501</w:t>
      </w:r>
      <w:r w:rsidRPr="00004F6F">
        <w:rPr>
          <w:rFonts w:eastAsia="SimSun"/>
          <w:sz w:val="28"/>
          <w:szCs w:val="28"/>
          <w:lang w:eastAsia="zh-CN"/>
        </w:rPr>
        <w:t xml:space="preserve">,6 </w:t>
      </w:r>
      <w:proofErr w:type="spellStart"/>
      <w:r w:rsidRPr="00004F6F">
        <w:rPr>
          <w:rFonts w:eastAsia="SimSun"/>
          <w:sz w:val="28"/>
          <w:szCs w:val="28"/>
          <w:lang w:eastAsia="zh-CN"/>
        </w:rPr>
        <w:t>тыс</w:t>
      </w:r>
      <w:proofErr w:type="gramStart"/>
      <w:r w:rsidRPr="00004F6F">
        <w:rPr>
          <w:rFonts w:eastAsia="SimSun"/>
          <w:sz w:val="28"/>
          <w:szCs w:val="28"/>
          <w:lang w:eastAsia="zh-CN"/>
        </w:rPr>
        <w:t>.р</w:t>
      </w:r>
      <w:proofErr w:type="gramEnd"/>
      <w:r w:rsidRPr="00004F6F">
        <w:rPr>
          <w:rFonts w:eastAsia="SimSun"/>
          <w:sz w:val="28"/>
          <w:szCs w:val="28"/>
          <w:lang w:eastAsia="zh-CN"/>
        </w:rPr>
        <w:t>уб</w:t>
      </w:r>
      <w:proofErr w:type="spellEnd"/>
      <w:r w:rsidRPr="00004F6F">
        <w:rPr>
          <w:rFonts w:eastAsia="SimSun"/>
          <w:sz w:val="28"/>
          <w:szCs w:val="28"/>
          <w:lang w:eastAsia="zh-CN"/>
        </w:rPr>
        <w:t xml:space="preserve">. </w:t>
      </w:r>
      <w:r w:rsidRPr="008E517A">
        <w:rPr>
          <w:rFonts w:eastAsia="SimSun"/>
          <w:sz w:val="28"/>
          <w:szCs w:val="28"/>
          <w:lang w:eastAsia="zh-CN"/>
        </w:rPr>
        <w:t>по состоянию на 01.01.2023г.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004F6F">
        <w:rPr>
          <w:rFonts w:eastAsia="SimSun"/>
          <w:sz w:val="28"/>
          <w:szCs w:val="28"/>
          <w:lang w:eastAsia="zh-CN"/>
        </w:rPr>
        <w:t xml:space="preserve">списано с соответствующих балансовых счетов 10100 «Основные средства» на основании предоставленных актов о </w:t>
      </w:r>
      <w:r w:rsidRPr="00004F6F">
        <w:rPr>
          <w:rFonts w:eastAsia="SimSun"/>
          <w:sz w:val="28"/>
          <w:szCs w:val="28"/>
          <w:lang w:eastAsia="zh-CN"/>
        </w:rPr>
        <w:lastRenderedPageBreak/>
        <w:t>списании групп основных средств (№239, 240, 241, 242</w:t>
      </w:r>
      <w:r>
        <w:rPr>
          <w:rFonts w:eastAsia="SimSun"/>
          <w:sz w:val="28"/>
          <w:szCs w:val="28"/>
          <w:lang w:eastAsia="zh-CN"/>
        </w:rPr>
        <w:t>, 247</w:t>
      </w:r>
      <w:r w:rsidRPr="00004F6F">
        <w:rPr>
          <w:rFonts w:eastAsia="SimSun"/>
          <w:sz w:val="28"/>
          <w:szCs w:val="28"/>
          <w:lang w:eastAsia="zh-CN"/>
        </w:rPr>
        <w:t xml:space="preserve"> от 17.12.2022г.), при этом, изменения в договор оперативного управления </w:t>
      </w:r>
      <w:r w:rsidRPr="00004F6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04F6F">
        <w:rPr>
          <w:sz w:val="28"/>
          <w:szCs w:val="28"/>
        </w:rPr>
        <w:t>006/</w:t>
      </w:r>
      <w:proofErr w:type="gramStart"/>
      <w:r w:rsidRPr="00004F6F">
        <w:rPr>
          <w:sz w:val="28"/>
          <w:szCs w:val="28"/>
        </w:rPr>
        <w:t xml:space="preserve">21-011 от 20 февраля 2021г. дополнительным соглашением </w:t>
      </w:r>
      <w:r w:rsidRPr="00004F6F">
        <w:rPr>
          <w:rFonts w:eastAsia="SimSun"/>
          <w:sz w:val="28"/>
          <w:szCs w:val="28"/>
          <w:lang w:eastAsia="zh-CN"/>
        </w:rPr>
        <w:t>Комитетом земельно-имущественных отношений и градостроительной деятельности АМР РТ не внесены</w:t>
      </w:r>
      <w:r>
        <w:rPr>
          <w:rFonts w:eastAsia="SimSun"/>
          <w:sz w:val="28"/>
          <w:szCs w:val="28"/>
          <w:lang w:eastAsia="zh-CN"/>
        </w:rPr>
        <w:t>;</w:t>
      </w:r>
      <w:proofErr w:type="gramEnd"/>
    </w:p>
    <w:p w:rsidR="009B6FDE" w:rsidRDefault="009B6FDE" w:rsidP="009B6FDE">
      <w:pPr>
        <w:shd w:val="clear" w:color="auto" w:fill="FFFFFF"/>
        <w:spacing w:before="12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4) </w:t>
      </w:r>
      <w:r>
        <w:rPr>
          <w:sz w:val="28"/>
          <w:szCs w:val="28"/>
        </w:rPr>
        <w:t>п</w:t>
      </w:r>
      <w:r w:rsidRPr="0073204A">
        <w:rPr>
          <w:color w:val="000000"/>
          <w:sz w:val="28"/>
          <w:szCs w:val="28"/>
        </w:rPr>
        <w:t xml:space="preserve">о состоянию на 01.01.2023г. </w:t>
      </w:r>
      <w:r w:rsidRPr="00531178">
        <w:rPr>
          <w:color w:val="000000"/>
          <w:sz w:val="28"/>
          <w:szCs w:val="28"/>
        </w:rPr>
        <w:t xml:space="preserve">списанное по бухгалтерскому учету с балансового счета </w:t>
      </w:r>
      <w:r w:rsidRPr="008E517A">
        <w:rPr>
          <w:sz w:val="28"/>
          <w:szCs w:val="28"/>
        </w:rPr>
        <w:t>10100</w:t>
      </w:r>
      <w:r w:rsidRPr="008E517A">
        <w:rPr>
          <w:color w:val="000000"/>
          <w:sz w:val="28"/>
          <w:szCs w:val="28"/>
        </w:rPr>
        <w:t xml:space="preserve"> «Основные средства»</w:t>
      </w:r>
      <w:r w:rsidRPr="00531178">
        <w:rPr>
          <w:color w:val="000000"/>
          <w:sz w:val="28"/>
          <w:szCs w:val="28"/>
        </w:rPr>
        <w:t xml:space="preserve"> на </w:t>
      </w:r>
      <w:proofErr w:type="spellStart"/>
      <w:r w:rsidRPr="00531178">
        <w:rPr>
          <w:color w:val="000000"/>
          <w:sz w:val="28"/>
          <w:szCs w:val="28"/>
        </w:rPr>
        <w:t>забалансовый</w:t>
      </w:r>
      <w:proofErr w:type="spellEnd"/>
      <w:r w:rsidRPr="00531178">
        <w:rPr>
          <w:color w:val="000000"/>
          <w:sz w:val="28"/>
          <w:szCs w:val="28"/>
        </w:rPr>
        <w:t xml:space="preserve"> счет 02 «Материальные ценности на хранении» имущество стоимостью </w:t>
      </w:r>
      <w:r>
        <w:rPr>
          <w:color w:val="000000"/>
          <w:sz w:val="28"/>
          <w:szCs w:val="28"/>
        </w:rPr>
        <w:t>501,6</w:t>
      </w:r>
      <w:r w:rsidRPr="00531178">
        <w:rPr>
          <w:color w:val="000000"/>
          <w:sz w:val="28"/>
          <w:szCs w:val="28"/>
        </w:rPr>
        <w:t xml:space="preserve"> </w:t>
      </w:r>
      <w:proofErr w:type="spellStart"/>
      <w:r w:rsidRPr="00531178">
        <w:rPr>
          <w:color w:val="000000"/>
          <w:sz w:val="28"/>
          <w:szCs w:val="28"/>
        </w:rPr>
        <w:t>тыс</w:t>
      </w:r>
      <w:proofErr w:type="gramStart"/>
      <w:r w:rsidRPr="00531178">
        <w:rPr>
          <w:color w:val="000000"/>
          <w:sz w:val="28"/>
          <w:szCs w:val="28"/>
        </w:rPr>
        <w:t>.р</w:t>
      </w:r>
      <w:proofErr w:type="gramEnd"/>
      <w:r w:rsidRPr="00531178">
        <w:rPr>
          <w:color w:val="000000"/>
          <w:sz w:val="28"/>
          <w:szCs w:val="28"/>
        </w:rPr>
        <w:t>уб</w:t>
      </w:r>
      <w:proofErr w:type="spellEnd"/>
      <w:r w:rsidRPr="00531178">
        <w:rPr>
          <w:color w:val="000000"/>
          <w:sz w:val="28"/>
          <w:szCs w:val="28"/>
        </w:rPr>
        <w:t>., используется в целях осуществления образовательного процесса</w:t>
      </w:r>
      <w:r>
        <w:rPr>
          <w:color w:val="000000"/>
          <w:sz w:val="28"/>
          <w:szCs w:val="28"/>
        </w:rPr>
        <w:t>;</w:t>
      </w:r>
    </w:p>
    <w:p w:rsidR="009B6FDE" w:rsidRDefault="009B6FDE" w:rsidP="009B6FDE">
      <w:pPr>
        <w:shd w:val="clear" w:color="auto" w:fill="FFFFFF"/>
        <w:spacing w:before="12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стоимость имущества (6 объектов стоимостью 6 891,6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proofErr w:type="spellEnd"/>
      <w:r>
        <w:rPr>
          <w:color w:val="000000"/>
          <w:sz w:val="28"/>
          <w:szCs w:val="28"/>
        </w:rPr>
        <w:t>.) по бухгалтерскому учету</w:t>
      </w:r>
      <w:r>
        <w:rPr>
          <w:rFonts w:eastAsia="SimSun"/>
          <w:sz w:val="28"/>
          <w:szCs w:val="28"/>
          <w:lang w:eastAsia="zh-CN"/>
        </w:rPr>
        <w:t xml:space="preserve">, на 7,2 </w:t>
      </w:r>
      <w:proofErr w:type="spellStart"/>
      <w:r>
        <w:rPr>
          <w:rFonts w:eastAsia="SimSun"/>
          <w:sz w:val="28"/>
          <w:szCs w:val="28"/>
          <w:lang w:eastAsia="zh-CN"/>
        </w:rPr>
        <w:t>тыс.руб</w:t>
      </w:r>
      <w:proofErr w:type="spellEnd"/>
      <w:r>
        <w:rPr>
          <w:rFonts w:eastAsia="SimSun"/>
          <w:sz w:val="28"/>
          <w:szCs w:val="28"/>
          <w:lang w:eastAsia="zh-CN"/>
        </w:rPr>
        <w:t xml:space="preserve">. </w:t>
      </w:r>
      <w:r w:rsidRPr="007C4BE3">
        <w:rPr>
          <w:rFonts w:eastAsia="SimSun"/>
          <w:sz w:val="28"/>
          <w:szCs w:val="28"/>
          <w:lang w:eastAsia="zh-CN"/>
        </w:rPr>
        <w:t>не соответствует стоимости</w:t>
      </w:r>
      <w:r>
        <w:rPr>
          <w:rFonts w:eastAsia="SimSun"/>
          <w:sz w:val="28"/>
          <w:szCs w:val="28"/>
          <w:lang w:eastAsia="zh-CN"/>
        </w:rPr>
        <w:t xml:space="preserve"> имущества в </w:t>
      </w:r>
      <w:r w:rsidRPr="00004F6F">
        <w:rPr>
          <w:color w:val="000000"/>
          <w:sz w:val="28"/>
          <w:szCs w:val="28"/>
        </w:rPr>
        <w:t xml:space="preserve">Реестре </w:t>
      </w:r>
      <w:r>
        <w:rPr>
          <w:color w:val="000000"/>
          <w:sz w:val="28"/>
          <w:szCs w:val="28"/>
        </w:rPr>
        <w:t xml:space="preserve">муниципальной собственности </w:t>
      </w:r>
      <w:r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6 объектов стоимостью 6 884,3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.);</w:t>
      </w:r>
    </w:p>
    <w:p w:rsidR="009B6FDE" w:rsidRPr="001640F9" w:rsidRDefault="009B6FDE" w:rsidP="009B6FDE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34DAB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B16462">
        <w:rPr>
          <w:rStyle w:val="markedcontent"/>
          <w:b/>
          <w:sz w:val="28"/>
          <w:szCs w:val="28"/>
        </w:rPr>
        <w:t>Нарушения при осуществлении государственных (муниципальных) закупок и закупок отдельными видами юридических лиц</w:t>
      </w:r>
      <w:r>
        <w:rPr>
          <w:rStyle w:val="markedcontent"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4</w:t>
      </w:r>
      <w:r w:rsidRPr="000D459C">
        <w:rPr>
          <w:rStyle w:val="markedcontent"/>
          <w:i/>
          <w:sz w:val="28"/>
          <w:szCs w:val="28"/>
        </w:rPr>
        <w:t>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9B6FDE" w:rsidRPr="001E1B1D" w:rsidRDefault="009B6FDE" w:rsidP="009B6FDE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</w:rPr>
      </w:pPr>
      <w:r>
        <w:rPr>
          <w:rStyle w:val="markedcontent"/>
          <w:sz w:val="28"/>
          <w:szCs w:val="28"/>
        </w:rPr>
        <w:t xml:space="preserve">1) Специалист по закупкам </w:t>
      </w:r>
      <w:r>
        <w:rPr>
          <w:sz w:val="28"/>
        </w:rPr>
        <w:t xml:space="preserve">последнее повышение квалификации прошла 8 лет назад (в 2014 году), согласно п.2.8. </w:t>
      </w:r>
      <w:proofErr w:type="gramStart"/>
      <w:r>
        <w:rPr>
          <w:sz w:val="28"/>
        </w:rPr>
        <w:t>Методических рекомендаций по реализации дополнительных профессиональных программ повышения квалификации в сфере закупок (письмо Министерства экономического развития РФ и Министерства образования и науки РФ от 12 марта 2015 г. №№ 5594-ЕЕ/Д28и, АК-553/06), обучение в сфере закупок рекомендуется проводить по мере необходимости, но не реже, чем каждые три года для всех категорий обучающихся.</w:t>
      </w:r>
      <w:proofErr w:type="gramEnd"/>
    </w:p>
    <w:p w:rsidR="00C765B9" w:rsidRPr="007A79B7" w:rsidRDefault="00C765B9" w:rsidP="00B175FF">
      <w:pPr>
        <w:pStyle w:val="a7"/>
        <w:widowControl w:val="0"/>
        <w:autoSpaceDE w:val="0"/>
        <w:autoSpaceDN w:val="0"/>
        <w:adjustRightInd w:val="0"/>
        <w:ind w:left="1069" w:right="-1"/>
        <w:jc w:val="both"/>
        <w:rPr>
          <w:b/>
          <w:sz w:val="28"/>
          <w:szCs w:val="28"/>
        </w:rPr>
      </w:pPr>
    </w:p>
    <w:p w:rsidR="0065129A" w:rsidRDefault="0065129A" w:rsidP="00970B4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  <w:r w:rsidR="00970B42">
        <w:rPr>
          <w:sz w:val="28"/>
          <w:szCs w:val="28"/>
        </w:rPr>
        <w:t xml:space="preserve">директору </w:t>
      </w:r>
      <w:r w:rsidR="00B175FF">
        <w:rPr>
          <w:sz w:val="28"/>
          <w:szCs w:val="28"/>
        </w:rPr>
        <w:t>М</w:t>
      </w:r>
      <w:r w:rsidR="008E63A9">
        <w:rPr>
          <w:sz w:val="28"/>
          <w:szCs w:val="28"/>
        </w:rPr>
        <w:t>Б</w:t>
      </w:r>
      <w:r w:rsidR="00B175FF">
        <w:rPr>
          <w:sz w:val="28"/>
          <w:szCs w:val="28"/>
        </w:rPr>
        <w:t>ОУ «</w:t>
      </w:r>
      <w:r w:rsidR="003B1E6D">
        <w:rPr>
          <w:sz w:val="28"/>
          <w:szCs w:val="28"/>
        </w:rPr>
        <w:t>СОШ №</w:t>
      </w:r>
      <w:r w:rsidR="009B6FDE">
        <w:rPr>
          <w:sz w:val="28"/>
          <w:szCs w:val="28"/>
        </w:rPr>
        <w:t xml:space="preserve"> 24</w:t>
      </w:r>
      <w:r w:rsidR="00B175FF">
        <w:rPr>
          <w:sz w:val="28"/>
          <w:szCs w:val="28"/>
        </w:rPr>
        <w:t>»</w:t>
      </w:r>
      <w:r w:rsidR="008E63A9">
        <w:rPr>
          <w:sz w:val="28"/>
          <w:szCs w:val="28"/>
        </w:rPr>
        <w:t xml:space="preserve"> </w:t>
      </w:r>
      <w:proofErr w:type="spellStart"/>
      <w:r w:rsidR="008E63A9">
        <w:rPr>
          <w:sz w:val="28"/>
          <w:szCs w:val="28"/>
        </w:rPr>
        <w:t>г</w:t>
      </w:r>
      <w:proofErr w:type="gramStart"/>
      <w:r w:rsidR="008E63A9">
        <w:rPr>
          <w:sz w:val="28"/>
          <w:szCs w:val="28"/>
        </w:rPr>
        <w:t>.А</w:t>
      </w:r>
      <w:proofErr w:type="gramEnd"/>
      <w:r w:rsidR="008E63A9">
        <w:rPr>
          <w:sz w:val="28"/>
          <w:szCs w:val="28"/>
        </w:rPr>
        <w:t>льметьевска</w:t>
      </w:r>
      <w:proofErr w:type="spellEnd"/>
      <w:r w:rsidR="00970B42">
        <w:rPr>
          <w:sz w:val="28"/>
          <w:szCs w:val="28"/>
        </w:rPr>
        <w:t xml:space="preserve"> </w:t>
      </w:r>
      <w:r w:rsidR="003B1E6D">
        <w:rPr>
          <w:sz w:val="28"/>
          <w:szCs w:val="28"/>
        </w:rPr>
        <w:t xml:space="preserve">и руководителю МБУ «ЦБ УО АМР»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r w:rsidR="008E63A9">
        <w:rPr>
          <w:sz w:val="28"/>
          <w:szCs w:val="28"/>
        </w:rPr>
        <w:t>0</w:t>
      </w:r>
      <w:r w:rsidR="009B6FD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3B1E6D">
        <w:rPr>
          <w:sz w:val="28"/>
          <w:szCs w:val="28"/>
        </w:rPr>
        <w:t>17.03.2023</w:t>
      </w:r>
      <w:r w:rsidR="00DF6535">
        <w:rPr>
          <w:sz w:val="28"/>
          <w:szCs w:val="28"/>
        </w:rPr>
        <w:t>г.</w:t>
      </w:r>
    </w:p>
    <w:p w:rsidR="003B1E6D" w:rsidRDefault="003B1E6D" w:rsidP="003B1E6D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контрольного мероприятия Контрольно-счетной палатой по фактам административного правонарушения на </w:t>
      </w:r>
      <w:r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главного бухгалтера </w:t>
      </w:r>
      <w:r>
        <w:rPr>
          <w:sz w:val="28"/>
          <w:szCs w:val="28"/>
        </w:rPr>
        <w:t xml:space="preserve">МБУ «ЦБ УО АМР» </w:t>
      </w:r>
      <w:r>
        <w:rPr>
          <w:sz w:val="28"/>
          <w:szCs w:val="28"/>
        </w:rPr>
        <w:t>составлен, и направлен мировому судье Протокол №</w:t>
      </w:r>
      <w:r w:rsidR="0073443C">
        <w:rPr>
          <w:sz w:val="28"/>
          <w:szCs w:val="28"/>
        </w:rPr>
        <w:t xml:space="preserve"> </w:t>
      </w:r>
      <w:bookmarkStart w:id="0" w:name="_GoBack"/>
      <w:bookmarkEnd w:id="0"/>
      <w:r w:rsidR="0073443C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17 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г., в том числе:</w:t>
      </w:r>
    </w:p>
    <w:p w:rsidR="003B1E6D" w:rsidRDefault="003B1E6D" w:rsidP="003B1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7BF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одному </w:t>
      </w:r>
      <w:r w:rsidRPr="00577BF9">
        <w:rPr>
          <w:sz w:val="28"/>
          <w:szCs w:val="28"/>
        </w:rPr>
        <w:t>факт</w:t>
      </w:r>
      <w:r>
        <w:rPr>
          <w:sz w:val="28"/>
          <w:szCs w:val="28"/>
        </w:rPr>
        <w:t>у</w:t>
      </w:r>
      <w:r w:rsidRPr="00577BF9">
        <w:rPr>
          <w:sz w:val="28"/>
          <w:szCs w:val="28"/>
        </w:rPr>
        <w:t xml:space="preserve"> </w:t>
      </w:r>
      <w:r w:rsidR="009B6FDE">
        <w:rPr>
          <w:sz w:val="28"/>
          <w:szCs w:val="28"/>
        </w:rPr>
        <w:t>значительного</w:t>
      </w:r>
      <w:r>
        <w:rPr>
          <w:sz w:val="28"/>
          <w:szCs w:val="28"/>
        </w:rPr>
        <w:t xml:space="preserve"> </w:t>
      </w:r>
      <w:r w:rsidRPr="00577BF9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577BF9">
        <w:rPr>
          <w:sz w:val="28"/>
          <w:szCs w:val="28"/>
        </w:rPr>
        <w:t xml:space="preserve"> требований к бюджетному (бухгалтерскому) учету в виде искажения данных бухгалтерского учета и отчетности за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</w:p>
    <w:p w:rsidR="00577BF9" w:rsidRPr="00577BF9" w:rsidRDefault="00577BF9" w:rsidP="00577BF9">
      <w:pPr>
        <w:ind w:firstLine="709"/>
        <w:jc w:val="both"/>
        <w:rPr>
          <w:sz w:val="28"/>
          <w:szCs w:val="28"/>
        </w:rPr>
      </w:pPr>
      <w:r w:rsidRPr="00577BF9">
        <w:rPr>
          <w:rStyle w:val="markedcontent"/>
          <w:sz w:val="28"/>
          <w:szCs w:val="28"/>
        </w:rPr>
        <w:t xml:space="preserve">Материалы проверки в рамках Соглашения </w:t>
      </w:r>
      <w:r w:rsidRPr="00577BF9">
        <w:rPr>
          <w:sz w:val="28"/>
          <w:szCs w:val="28"/>
        </w:rPr>
        <w:t xml:space="preserve">о порядке взаимодействия </w:t>
      </w:r>
      <w:proofErr w:type="spellStart"/>
      <w:r w:rsidRPr="00577BF9">
        <w:rPr>
          <w:sz w:val="28"/>
          <w:szCs w:val="28"/>
        </w:rPr>
        <w:t>Альметьевской</w:t>
      </w:r>
      <w:proofErr w:type="spellEnd"/>
      <w:r w:rsidRPr="00577BF9">
        <w:rPr>
          <w:sz w:val="28"/>
          <w:szCs w:val="28"/>
        </w:rPr>
        <w:t xml:space="preserve"> городской прокуратуры  с  Контрольно-счетной палатой   </w:t>
      </w:r>
      <w:r w:rsidR="003A212A">
        <w:rPr>
          <w:sz w:val="28"/>
          <w:szCs w:val="28"/>
        </w:rPr>
        <w:t xml:space="preserve">будут </w:t>
      </w:r>
      <w:r w:rsidRPr="00577BF9">
        <w:rPr>
          <w:sz w:val="28"/>
          <w:szCs w:val="28"/>
        </w:rPr>
        <w:t>направ</w:t>
      </w:r>
      <w:r w:rsidR="003A212A">
        <w:rPr>
          <w:sz w:val="28"/>
          <w:szCs w:val="28"/>
        </w:rPr>
        <w:t>лены</w:t>
      </w:r>
      <w:r w:rsidRPr="00577BF9">
        <w:rPr>
          <w:sz w:val="28"/>
          <w:szCs w:val="28"/>
        </w:rPr>
        <w:t xml:space="preserve"> </w:t>
      </w:r>
      <w:r w:rsidRPr="00577BF9">
        <w:rPr>
          <w:rStyle w:val="markedcontent"/>
          <w:sz w:val="28"/>
          <w:szCs w:val="28"/>
        </w:rPr>
        <w:t xml:space="preserve">в </w:t>
      </w:r>
      <w:proofErr w:type="spellStart"/>
      <w:r w:rsidRPr="00577BF9">
        <w:rPr>
          <w:rStyle w:val="markedcontent"/>
          <w:sz w:val="28"/>
          <w:szCs w:val="28"/>
        </w:rPr>
        <w:t>Альметьевскую</w:t>
      </w:r>
      <w:proofErr w:type="spellEnd"/>
      <w:r w:rsidRPr="00577BF9">
        <w:rPr>
          <w:rStyle w:val="markedcontent"/>
          <w:sz w:val="28"/>
          <w:szCs w:val="28"/>
        </w:rPr>
        <w:t xml:space="preserve"> городскую Прокуратуру Республики Татарстан.</w:t>
      </w:r>
    </w:p>
    <w:p w:rsidR="00F91AF0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3B1E6D" w:rsidRPr="00577BF9" w:rsidRDefault="003B1E6D" w:rsidP="00577150">
      <w:pPr>
        <w:ind w:right="-143" w:firstLine="709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</w:t>
      </w:r>
      <w:r w:rsidR="00562E7C">
        <w:rPr>
          <w:sz w:val="28"/>
          <w:szCs w:val="28"/>
        </w:rPr>
        <w:t xml:space="preserve">            </w:t>
      </w:r>
      <w:r w:rsidRPr="00CB2B8A">
        <w:rPr>
          <w:sz w:val="28"/>
          <w:szCs w:val="28"/>
        </w:rPr>
        <w:t xml:space="preserve">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C6" w:rsidRDefault="003654C6">
      <w:r>
        <w:separator/>
      </w:r>
    </w:p>
  </w:endnote>
  <w:endnote w:type="continuationSeparator" w:id="0">
    <w:p w:rsidR="003654C6" w:rsidRDefault="0036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C6" w:rsidRDefault="003654C6">
      <w:r>
        <w:separator/>
      </w:r>
    </w:p>
  </w:footnote>
  <w:footnote w:type="continuationSeparator" w:id="0">
    <w:p w:rsidR="003654C6" w:rsidRDefault="0036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B4F13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211E4D"/>
    <w:multiLevelType w:val="hybridMultilevel"/>
    <w:tmpl w:val="DB5E2592"/>
    <w:lvl w:ilvl="0" w:tplc="3EA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>
    <w:nsid w:val="17490C1F"/>
    <w:multiLevelType w:val="hybridMultilevel"/>
    <w:tmpl w:val="D5269770"/>
    <w:lvl w:ilvl="0" w:tplc="414A0CDC">
      <w:start w:val="3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66EA2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C03224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410F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BBA528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01318"/>
    <w:multiLevelType w:val="hybridMultilevel"/>
    <w:tmpl w:val="7E5AB5D8"/>
    <w:lvl w:ilvl="0" w:tplc="BF163C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76387B"/>
    <w:multiLevelType w:val="hybridMultilevel"/>
    <w:tmpl w:val="6E1EFB2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29699D"/>
    <w:multiLevelType w:val="hybridMultilevel"/>
    <w:tmpl w:val="D5107E18"/>
    <w:lvl w:ilvl="0" w:tplc="1F986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A765B9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3206F6F"/>
    <w:multiLevelType w:val="hybridMultilevel"/>
    <w:tmpl w:val="53569F40"/>
    <w:lvl w:ilvl="0" w:tplc="E3F4B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32"/>
  </w:num>
  <w:num w:numId="5">
    <w:abstractNumId w:val="6"/>
  </w:num>
  <w:num w:numId="6">
    <w:abstractNumId w:val="18"/>
  </w:num>
  <w:num w:numId="7">
    <w:abstractNumId w:val="22"/>
  </w:num>
  <w:num w:numId="8">
    <w:abstractNumId w:val="24"/>
  </w:num>
  <w:num w:numId="9">
    <w:abstractNumId w:val="9"/>
  </w:num>
  <w:num w:numId="10">
    <w:abstractNumId w:val="7"/>
  </w:num>
  <w:num w:numId="11">
    <w:abstractNumId w:val="28"/>
  </w:num>
  <w:num w:numId="12">
    <w:abstractNumId w:val="25"/>
  </w:num>
  <w:num w:numId="13">
    <w:abstractNumId w:val="27"/>
  </w:num>
  <w:num w:numId="14">
    <w:abstractNumId w:val="4"/>
  </w:num>
  <w:num w:numId="15">
    <w:abstractNumId w:val="0"/>
  </w:num>
  <w:num w:numId="16">
    <w:abstractNumId w:val="13"/>
  </w:num>
  <w:num w:numId="17">
    <w:abstractNumId w:val="10"/>
  </w:num>
  <w:num w:numId="18">
    <w:abstractNumId w:val="29"/>
  </w:num>
  <w:num w:numId="19">
    <w:abstractNumId w:val="20"/>
  </w:num>
  <w:num w:numId="20">
    <w:abstractNumId w:val="33"/>
  </w:num>
  <w:num w:numId="21">
    <w:abstractNumId w:val="26"/>
  </w:num>
  <w:num w:numId="22">
    <w:abstractNumId w:val="17"/>
  </w:num>
  <w:num w:numId="23">
    <w:abstractNumId w:val="15"/>
  </w:num>
  <w:num w:numId="24">
    <w:abstractNumId w:val="2"/>
  </w:num>
  <w:num w:numId="25">
    <w:abstractNumId w:val="5"/>
  </w:num>
  <w:num w:numId="26">
    <w:abstractNumId w:val="11"/>
  </w:num>
  <w:num w:numId="27">
    <w:abstractNumId w:val="12"/>
  </w:num>
  <w:num w:numId="28">
    <w:abstractNumId w:val="16"/>
  </w:num>
  <w:num w:numId="29">
    <w:abstractNumId w:val="19"/>
  </w:num>
  <w:num w:numId="30">
    <w:abstractNumId w:val="23"/>
  </w:num>
  <w:num w:numId="31">
    <w:abstractNumId w:val="3"/>
  </w:num>
  <w:num w:numId="32">
    <w:abstractNumId w:val="3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26C67"/>
    <w:rsid w:val="000304D5"/>
    <w:rsid w:val="00037BD9"/>
    <w:rsid w:val="00047F39"/>
    <w:rsid w:val="00053C3A"/>
    <w:rsid w:val="0006102C"/>
    <w:rsid w:val="0008225F"/>
    <w:rsid w:val="000A1850"/>
    <w:rsid w:val="000A7452"/>
    <w:rsid w:val="000A77DD"/>
    <w:rsid w:val="000C2BC6"/>
    <w:rsid w:val="000D459C"/>
    <w:rsid w:val="00104206"/>
    <w:rsid w:val="00104565"/>
    <w:rsid w:val="001116AD"/>
    <w:rsid w:val="00153616"/>
    <w:rsid w:val="001537AC"/>
    <w:rsid w:val="001539CC"/>
    <w:rsid w:val="00167DC2"/>
    <w:rsid w:val="00180FA8"/>
    <w:rsid w:val="001A7353"/>
    <w:rsid w:val="001B2A66"/>
    <w:rsid w:val="001C6269"/>
    <w:rsid w:val="001F59FC"/>
    <w:rsid w:val="00213983"/>
    <w:rsid w:val="002260E4"/>
    <w:rsid w:val="0023325A"/>
    <w:rsid w:val="0023485D"/>
    <w:rsid w:val="00236F8B"/>
    <w:rsid w:val="00244E8C"/>
    <w:rsid w:val="00281130"/>
    <w:rsid w:val="00295CF0"/>
    <w:rsid w:val="002A6D4C"/>
    <w:rsid w:val="002A773A"/>
    <w:rsid w:val="002A7EA3"/>
    <w:rsid w:val="002C3D2B"/>
    <w:rsid w:val="002D0210"/>
    <w:rsid w:val="002D447A"/>
    <w:rsid w:val="002D7FDB"/>
    <w:rsid w:val="002E75DB"/>
    <w:rsid w:val="00302DE0"/>
    <w:rsid w:val="003543E8"/>
    <w:rsid w:val="003654C6"/>
    <w:rsid w:val="00390B00"/>
    <w:rsid w:val="003A212A"/>
    <w:rsid w:val="003B1E6D"/>
    <w:rsid w:val="003C121F"/>
    <w:rsid w:val="003C6C9D"/>
    <w:rsid w:val="003D0C68"/>
    <w:rsid w:val="003D2FCC"/>
    <w:rsid w:val="003D76F7"/>
    <w:rsid w:val="003E295A"/>
    <w:rsid w:val="003E57E9"/>
    <w:rsid w:val="003F76DA"/>
    <w:rsid w:val="00406EF1"/>
    <w:rsid w:val="00407FDA"/>
    <w:rsid w:val="0042246B"/>
    <w:rsid w:val="00440B73"/>
    <w:rsid w:val="00453B74"/>
    <w:rsid w:val="00463EA2"/>
    <w:rsid w:val="00473BD6"/>
    <w:rsid w:val="0048429E"/>
    <w:rsid w:val="004E12E9"/>
    <w:rsid w:val="004E4F2E"/>
    <w:rsid w:val="004E6B15"/>
    <w:rsid w:val="004F6F07"/>
    <w:rsid w:val="00504F66"/>
    <w:rsid w:val="00512941"/>
    <w:rsid w:val="0052003A"/>
    <w:rsid w:val="00525DEC"/>
    <w:rsid w:val="0054527F"/>
    <w:rsid w:val="00562E7C"/>
    <w:rsid w:val="005711AE"/>
    <w:rsid w:val="00577150"/>
    <w:rsid w:val="00577BF9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16E8E"/>
    <w:rsid w:val="0063350C"/>
    <w:rsid w:val="0065129A"/>
    <w:rsid w:val="006529A1"/>
    <w:rsid w:val="0066000B"/>
    <w:rsid w:val="006737EA"/>
    <w:rsid w:val="00674FD1"/>
    <w:rsid w:val="00681BD0"/>
    <w:rsid w:val="00685433"/>
    <w:rsid w:val="00695FF5"/>
    <w:rsid w:val="006A60E5"/>
    <w:rsid w:val="006B7D92"/>
    <w:rsid w:val="006D0BD5"/>
    <w:rsid w:val="006D1507"/>
    <w:rsid w:val="006D21FD"/>
    <w:rsid w:val="006F761B"/>
    <w:rsid w:val="007101CB"/>
    <w:rsid w:val="0073443C"/>
    <w:rsid w:val="007376E6"/>
    <w:rsid w:val="0074080D"/>
    <w:rsid w:val="007478DF"/>
    <w:rsid w:val="00755A0F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4105A"/>
    <w:rsid w:val="008501EC"/>
    <w:rsid w:val="00854095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9677F"/>
    <w:rsid w:val="008B4E51"/>
    <w:rsid w:val="008C3C66"/>
    <w:rsid w:val="008E63A9"/>
    <w:rsid w:val="008F3164"/>
    <w:rsid w:val="009326DA"/>
    <w:rsid w:val="009547D4"/>
    <w:rsid w:val="009676FA"/>
    <w:rsid w:val="00970B42"/>
    <w:rsid w:val="0099604A"/>
    <w:rsid w:val="009A42DE"/>
    <w:rsid w:val="009B6FDE"/>
    <w:rsid w:val="009C38C6"/>
    <w:rsid w:val="009E35EA"/>
    <w:rsid w:val="009F3F69"/>
    <w:rsid w:val="009F4458"/>
    <w:rsid w:val="009F5B44"/>
    <w:rsid w:val="00A02E01"/>
    <w:rsid w:val="00A05170"/>
    <w:rsid w:val="00A140AD"/>
    <w:rsid w:val="00A149F4"/>
    <w:rsid w:val="00A15565"/>
    <w:rsid w:val="00A2051F"/>
    <w:rsid w:val="00A22040"/>
    <w:rsid w:val="00A25196"/>
    <w:rsid w:val="00A63A8B"/>
    <w:rsid w:val="00A93D6F"/>
    <w:rsid w:val="00AA7D6E"/>
    <w:rsid w:val="00AB0DB8"/>
    <w:rsid w:val="00AB59B2"/>
    <w:rsid w:val="00AB66B7"/>
    <w:rsid w:val="00AD1A3F"/>
    <w:rsid w:val="00AE6E3D"/>
    <w:rsid w:val="00AF3110"/>
    <w:rsid w:val="00B175FF"/>
    <w:rsid w:val="00B23125"/>
    <w:rsid w:val="00B322AB"/>
    <w:rsid w:val="00B3434A"/>
    <w:rsid w:val="00B348B3"/>
    <w:rsid w:val="00B34DAB"/>
    <w:rsid w:val="00B34DCA"/>
    <w:rsid w:val="00B36397"/>
    <w:rsid w:val="00B60F7E"/>
    <w:rsid w:val="00B93F40"/>
    <w:rsid w:val="00B97E79"/>
    <w:rsid w:val="00BA5847"/>
    <w:rsid w:val="00BC68DD"/>
    <w:rsid w:val="00BE4763"/>
    <w:rsid w:val="00BF5754"/>
    <w:rsid w:val="00C05C18"/>
    <w:rsid w:val="00C30288"/>
    <w:rsid w:val="00C3133E"/>
    <w:rsid w:val="00C3404C"/>
    <w:rsid w:val="00C3602A"/>
    <w:rsid w:val="00C479B5"/>
    <w:rsid w:val="00C57BB7"/>
    <w:rsid w:val="00C601CF"/>
    <w:rsid w:val="00C660FC"/>
    <w:rsid w:val="00C73E8A"/>
    <w:rsid w:val="00C765B9"/>
    <w:rsid w:val="00C76C70"/>
    <w:rsid w:val="00CB2B8A"/>
    <w:rsid w:val="00CC0028"/>
    <w:rsid w:val="00CC23FF"/>
    <w:rsid w:val="00CD4397"/>
    <w:rsid w:val="00CF392D"/>
    <w:rsid w:val="00D02756"/>
    <w:rsid w:val="00D31057"/>
    <w:rsid w:val="00D51863"/>
    <w:rsid w:val="00D653C7"/>
    <w:rsid w:val="00D6793A"/>
    <w:rsid w:val="00D67FA6"/>
    <w:rsid w:val="00D73CEC"/>
    <w:rsid w:val="00D91272"/>
    <w:rsid w:val="00DB0156"/>
    <w:rsid w:val="00DB16EF"/>
    <w:rsid w:val="00DC3EFD"/>
    <w:rsid w:val="00DC601B"/>
    <w:rsid w:val="00DD41B8"/>
    <w:rsid w:val="00DE2CD5"/>
    <w:rsid w:val="00DF6535"/>
    <w:rsid w:val="00DF7CD8"/>
    <w:rsid w:val="00E13A44"/>
    <w:rsid w:val="00E54E37"/>
    <w:rsid w:val="00E60C91"/>
    <w:rsid w:val="00E60D6B"/>
    <w:rsid w:val="00E87B59"/>
    <w:rsid w:val="00EB0084"/>
    <w:rsid w:val="00EB0D85"/>
    <w:rsid w:val="00EB4CB8"/>
    <w:rsid w:val="00EB6EA2"/>
    <w:rsid w:val="00ED2ED0"/>
    <w:rsid w:val="00ED3E64"/>
    <w:rsid w:val="00EE02D2"/>
    <w:rsid w:val="00EE584E"/>
    <w:rsid w:val="00EF6833"/>
    <w:rsid w:val="00F05C1C"/>
    <w:rsid w:val="00F1320D"/>
    <w:rsid w:val="00F13DD6"/>
    <w:rsid w:val="00F267E4"/>
    <w:rsid w:val="00F32933"/>
    <w:rsid w:val="00F366FE"/>
    <w:rsid w:val="00F42EB5"/>
    <w:rsid w:val="00F66CFD"/>
    <w:rsid w:val="00F7000B"/>
    <w:rsid w:val="00F72930"/>
    <w:rsid w:val="00F8110C"/>
    <w:rsid w:val="00F91AF0"/>
    <w:rsid w:val="00FA7E61"/>
    <w:rsid w:val="00FD3979"/>
    <w:rsid w:val="00FE0D29"/>
    <w:rsid w:val="00FE4F8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6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C6C9D"/>
    <w:pPr>
      <w:ind w:left="720"/>
      <w:contextualSpacing/>
    </w:pPr>
  </w:style>
  <w:style w:type="character" w:styleId="a9">
    <w:name w:val="Emphasis"/>
    <w:basedOn w:val="a0"/>
    <w:uiPriority w:val="20"/>
    <w:qFormat/>
    <w:rsid w:val="00EB6EA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F42EB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f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51863"/>
    <w:rPr>
      <w:b/>
      <w:bCs/>
    </w:rPr>
  </w:style>
  <w:style w:type="paragraph" w:styleId="af1">
    <w:name w:val="Body Text Indent"/>
    <w:basedOn w:val="a"/>
    <w:link w:val="af2"/>
    <w:rsid w:val="00970B42"/>
    <w:pPr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link w:val="11"/>
    <w:uiPriority w:val="99"/>
    <w:unhideWhenUsed/>
    <w:rsid w:val="00970B42"/>
    <w:rPr>
      <w:color w:val="0000FF"/>
      <w:u w:val="single"/>
    </w:rPr>
  </w:style>
  <w:style w:type="paragraph" w:customStyle="1" w:styleId="11">
    <w:name w:val="Гиперссылка1"/>
    <w:link w:val="af3"/>
    <w:rsid w:val="0099604A"/>
    <w:pPr>
      <w:spacing w:after="0" w:line="240" w:lineRule="auto"/>
    </w:pPr>
    <w:rPr>
      <w:color w:val="0000FF"/>
      <w:u w:val="single"/>
    </w:rPr>
  </w:style>
  <w:style w:type="character" w:customStyle="1" w:styleId="a6">
    <w:name w:val="Без интервала Знак"/>
    <w:link w:val="a5"/>
    <w:rsid w:val="00996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77BF9"/>
  </w:style>
  <w:style w:type="character" w:customStyle="1" w:styleId="af4">
    <w:name w:val="Гипертекстовая ссылка"/>
    <w:rsid w:val="0063350C"/>
    <w:rPr>
      <w:color w:val="106BBE"/>
    </w:rPr>
  </w:style>
  <w:style w:type="paragraph" w:customStyle="1" w:styleId="s1">
    <w:name w:val="s_1"/>
    <w:basedOn w:val="a"/>
    <w:rsid w:val="0063350C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rsid w:val="00633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479B5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32D51-D7F0-4E58-A7DA-6F463B11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5</cp:revision>
  <cp:lastPrinted>2022-03-22T12:07:00Z</cp:lastPrinted>
  <dcterms:created xsi:type="dcterms:W3CDTF">2023-03-17T10:49:00Z</dcterms:created>
  <dcterms:modified xsi:type="dcterms:W3CDTF">2023-03-17T11:05:00Z</dcterms:modified>
</cp:coreProperties>
</file>